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60" w:after="0"/>
        <w:rPr>
          <w:szCs w:val="26"/>
        </w:rPr>
      </w:pPr>
      <w:r>
        <w:rPr>
          <w:szCs w:val="26"/>
        </w:rPr>
      </w:r>
    </w:p>
    <w:p>
      <w:pPr>
        <w:pStyle w:val="Normal"/>
        <w:widowControl w:val="false"/>
        <w:spacing w:before="0" w:after="0"/>
        <w:contextualSpacing/>
        <w:jc w:val="center"/>
        <w:rPr>
          <w:b/>
          <w:szCs w:val="26"/>
        </w:rPr>
      </w:pPr>
      <w:r>
        <w:rPr>
          <w:b/>
          <w:szCs w:val="26"/>
        </w:rPr>
        <w:t xml:space="preserve">ТЕХНИЧЕСКОЕ ЗАДАНИЕ </w:t>
      </w:r>
    </w:p>
    <w:p>
      <w:pPr>
        <w:pStyle w:val="Normal"/>
        <w:jc w:val="center"/>
        <w:rPr>
          <w:szCs w:val="26"/>
        </w:rPr>
      </w:pPr>
      <w:r>
        <w:rPr>
          <w:b/>
          <w:bCs/>
          <w:szCs w:val="26"/>
        </w:rPr>
        <w:t xml:space="preserve">на разработку проектной и рабочей документации (включая инженерные изыскания) по объекту </w:t>
      </w:r>
      <w:r>
        <w:rPr>
          <w:rFonts w:eastAsia="Liberation Serif"/>
          <w:b/>
          <w:bCs/>
          <w:color w:val="000000"/>
          <w:szCs w:val="26"/>
          <w:shd w:fill="FFFFFF" w:val="clear"/>
        </w:rPr>
        <w:t xml:space="preserve">«Строительство КЛ-6 кВ от РУ-6 кВ ПС 110/35/6 кВ "Южная" ячейка новая - 0,9 км (в том числе ГНБ 0,28 км); монтаж линейного разъединителя 6 кВ на опоре - 1 шт.; монтаж коммерческого учета 6 кВ - 1 шт. </w:t>
        <w:tab/>
        <w:t>Реконструкция РУ-6 кВ ПС 110/35/6 кВ "Южная" с заменой в яч. №11 вакуумного выключателя - 1 шт. и трансформаторов тока - 3 шт. для заявителя АО СПК в рамках реализации инвестиционных проектов (P_27-ХЭС-5855, Q_27-ХЭС-5856)»</w:t>
      </w:r>
    </w:p>
    <w:p>
      <w:pPr>
        <w:pStyle w:val="Normal"/>
        <w:widowControl w:val="false"/>
        <w:spacing w:before="0" w:after="0"/>
        <w:ind w:left="283" w:hanging="0"/>
        <w:contextualSpacing/>
        <w:jc w:val="center"/>
        <w:rPr>
          <w:b/>
          <w:bCs/>
          <w:szCs w:val="26"/>
        </w:rPr>
      </w:pPr>
      <w:r>
        <w:rPr>
          <w:b/>
          <w:bCs/>
          <w:szCs w:val="26"/>
        </w:rPr>
      </w:r>
    </w:p>
    <w:p>
      <w:pPr>
        <w:pStyle w:val="ListParagraph"/>
        <w:widowControl w:val="false"/>
        <w:numPr>
          <w:ilvl w:val="0"/>
          <w:numId w:val="3"/>
        </w:numPr>
        <w:tabs>
          <w:tab w:val="clear" w:pos="708"/>
          <w:tab w:val="left" w:pos="284" w:leader="none"/>
        </w:tabs>
        <w:spacing w:before="0" w:after="0"/>
        <w:ind w:left="0" w:firstLine="709"/>
        <w:contextualSpacing/>
        <w:rPr>
          <w:b/>
          <w:color w:val="000000" w:themeColor="text1"/>
          <w:szCs w:val="26"/>
        </w:rPr>
      </w:pPr>
      <w:r>
        <w:rPr>
          <w:b/>
          <w:color w:val="000000" w:themeColor="text1"/>
          <w:szCs w:val="26"/>
        </w:rPr>
        <w:t>Основание для проектирования:</w:t>
      </w:r>
    </w:p>
    <w:p>
      <w:pPr>
        <w:pStyle w:val="ListParagraph"/>
        <w:numPr>
          <w:ilvl w:val="1"/>
          <w:numId w:val="3"/>
        </w:numPr>
        <w:tabs>
          <w:tab w:val="clear" w:pos="708"/>
          <w:tab w:val="left" w:pos="284" w:leader="none"/>
        </w:tabs>
        <w:ind w:left="0" w:firstLine="709"/>
        <w:rPr>
          <w:color w:val="000000" w:themeColor="text1"/>
          <w:szCs w:val="26"/>
        </w:rPr>
      </w:pPr>
      <w:r>
        <w:rPr>
          <w:color w:val="000000" w:themeColor="text1"/>
          <w:szCs w:val="26"/>
        </w:rPr>
        <w:t>Инвестиционная программа АО «ДРСК» на 2026-2031г. в рамках инвестиционного проекта: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284" w:leader="none"/>
        </w:tabs>
        <w:rPr>
          <w:color w:val="050000"/>
          <w:szCs w:val="26"/>
        </w:rPr>
      </w:pPr>
      <w:r>
        <w:rPr>
          <w:color w:val="050000"/>
          <w:szCs w:val="26"/>
        </w:rPr>
        <w:t>Строительство КЛ-6 кВ от РУ-6 кВ ПС 110/35/6 кВ "Южная" ячейка новая - 0,9 км (в том числе ГНБ 0,28 км); монтаж линейного разъединителя 6 кВ на опоре - 1 шт.; монтаж коммерческого учета 6 кВ - 1 шт. (СПК АО), P_27-ХЭС-5855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284" w:leader="none"/>
        </w:tabs>
        <w:rPr>
          <w:color w:val="050000"/>
          <w:szCs w:val="26"/>
        </w:rPr>
      </w:pPr>
      <w:r>
        <w:rPr>
          <w:color w:val="050000"/>
          <w:szCs w:val="26"/>
        </w:rPr>
        <w:t>Реконструкция РУ-6 кВ ПС 110/35/6 кВ "Южная" с заменой в яч. №11 вакуумного выключателя - 1 шт. и трансформаторов тока - 3 шт. (СПК АО), Q_27-ХЭС-5856</w:t>
        <w:tab/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284" w:leader="none"/>
        </w:tabs>
        <w:ind w:left="0" w:firstLine="709"/>
        <w:rPr>
          <w:color w:val="050000"/>
          <w:szCs w:val="26"/>
        </w:rPr>
      </w:pPr>
      <w:r>
        <w:rPr>
          <w:color w:val="050000"/>
          <w:szCs w:val="26"/>
        </w:rPr>
        <w:t>Договор на технологическое присоединение к электрическим сетям АО «ДРСК» №133/24 от 19.11.2024 (далее — договор Тпр).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8"/>
          <w:tab w:val="left" w:pos="284" w:leader="none"/>
        </w:tabs>
        <w:spacing w:before="0" w:after="0"/>
        <w:ind w:left="0" w:firstLine="709"/>
        <w:contextualSpacing/>
        <w:rPr>
          <w:b/>
          <w:color w:val="000000" w:themeColor="text1"/>
          <w:szCs w:val="26"/>
        </w:rPr>
      </w:pPr>
      <w:r>
        <w:rPr>
          <w:b/>
          <w:color w:val="000000" w:themeColor="text1"/>
          <w:szCs w:val="26"/>
        </w:rPr>
        <w:t>Нормативно-технические документы, определяющие требования к оформлению и содержанию проектной документации:</w:t>
      </w:r>
    </w:p>
    <w:p>
      <w:pPr>
        <w:pStyle w:val="ListParagraph"/>
        <w:widowControl w:val="false"/>
        <w:numPr>
          <w:ilvl w:val="1"/>
          <w:numId w:val="4"/>
        </w:numPr>
        <w:tabs>
          <w:tab w:val="clear" w:pos="708"/>
          <w:tab w:val="left" w:pos="0" w:leader="none"/>
        </w:tabs>
        <w:spacing w:before="0" w:after="0"/>
        <w:ind w:left="0" w:firstLine="709"/>
        <w:contextualSpacing/>
        <w:rPr>
          <w:szCs w:val="26"/>
        </w:rPr>
      </w:pPr>
      <w:hyperlink r:id="rId2">
        <w:r>
          <w:rPr>
            <w:rStyle w:val="Hyperlink"/>
            <w:color w:val="00000A"/>
            <w:szCs w:val="26"/>
          </w:rPr>
          <w:t>Земельный кодекс Российской Федерации</w:t>
        </w:r>
      </w:hyperlink>
      <w:r>
        <w:rPr>
          <w:szCs w:val="26"/>
        </w:rPr>
        <w:t>;</w:t>
      </w:r>
    </w:p>
    <w:p>
      <w:pPr>
        <w:pStyle w:val="ListParagraph"/>
        <w:widowControl w:val="false"/>
        <w:numPr>
          <w:ilvl w:val="1"/>
          <w:numId w:val="4"/>
        </w:numPr>
        <w:tabs>
          <w:tab w:val="clear" w:pos="708"/>
          <w:tab w:val="left" w:pos="0" w:leader="none"/>
        </w:tabs>
        <w:spacing w:before="0" w:after="0"/>
        <w:ind w:left="0" w:firstLine="709"/>
        <w:contextualSpacing/>
        <w:rPr>
          <w:szCs w:val="26"/>
        </w:rPr>
      </w:pPr>
      <w:hyperlink r:id="rId3">
        <w:r>
          <w:rPr>
            <w:rStyle w:val="Hyperlink"/>
            <w:color w:val="00000A"/>
            <w:szCs w:val="26"/>
          </w:rPr>
          <w:t>Градостроительный кодекс Российской Федерации</w:t>
        </w:r>
      </w:hyperlink>
      <w:r>
        <w:rPr>
          <w:szCs w:val="26"/>
        </w:rPr>
        <w:t>;</w:t>
      </w:r>
    </w:p>
    <w:p>
      <w:pPr>
        <w:pStyle w:val="ListParagraph"/>
        <w:widowControl w:val="false"/>
        <w:numPr>
          <w:ilvl w:val="1"/>
          <w:numId w:val="4"/>
        </w:numPr>
        <w:tabs>
          <w:tab w:val="clear" w:pos="708"/>
          <w:tab w:val="left" w:pos="0" w:leader="none"/>
        </w:tabs>
        <w:spacing w:before="0" w:after="0"/>
        <w:ind w:left="0" w:firstLine="709"/>
        <w:contextualSpacing/>
        <w:rPr>
          <w:szCs w:val="26"/>
        </w:rPr>
      </w:pPr>
      <w:hyperlink r:id="rId4">
        <w:r>
          <w:rPr>
            <w:rStyle w:val="Hyperlink"/>
            <w:color w:val="00000A"/>
            <w:szCs w:val="26"/>
          </w:rPr>
          <w:t>Лесной кодекс Российской Федерации</w:t>
        </w:r>
      </w:hyperlink>
      <w:r>
        <w:rPr>
          <w:szCs w:val="26"/>
        </w:rPr>
        <w:t>;</w:t>
      </w:r>
    </w:p>
    <w:p>
      <w:pPr>
        <w:pStyle w:val="ListParagraph"/>
        <w:widowControl w:val="false"/>
        <w:numPr>
          <w:ilvl w:val="1"/>
          <w:numId w:val="4"/>
        </w:numPr>
        <w:tabs>
          <w:tab w:val="clear" w:pos="708"/>
          <w:tab w:val="left" w:pos="0" w:leader="none"/>
        </w:tabs>
        <w:spacing w:before="0" w:after="0"/>
        <w:ind w:left="0" w:firstLine="709"/>
        <w:contextualSpacing/>
        <w:rPr>
          <w:szCs w:val="26"/>
        </w:rPr>
      </w:pPr>
      <w:hyperlink r:id="rId5">
        <w:r>
          <w:rPr>
            <w:rStyle w:val="Hyperlink"/>
            <w:color w:val="00000A"/>
            <w:szCs w:val="26"/>
          </w:rPr>
          <w:t>Водный кодекс Российской Федерации</w:t>
        </w:r>
      </w:hyperlink>
      <w:r>
        <w:rPr>
          <w:szCs w:val="26"/>
        </w:rPr>
        <w:t>;</w:t>
      </w:r>
    </w:p>
    <w:p>
      <w:pPr>
        <w:pStyle w:val="Standard"/>
        <w:numPr>
          <w:ilvl w:val="1"/>
          <w:numId w:val="4"/>
        </w:numPr>
        <w:ind w:left="0" w:firstLine="709"/>
        <w:rPr>
          <w:szCs w:val="26"/>
        </w:rPr>
      </w:pPr>
      <w:r>
        <w:rPr>
          <w:szCs w:val="26"/>
        </w:rPr>
        <w:t>Указ Президента Российской Федерации от 30.03.2022 № 166 "О мерах по обеспечению технологической независимости и безопасности критической информационной инфраструктуры российской федерации";</w:t>
      </w:r>
    </w:p>
    <w:p>
      <w:pPr>
        <w:pStyle w:val="Standard"/>
        <w:numPr>
          <w:ilvl w:val="1"/>
          <w:numId w:val="4"/>
        </w:numPr>
        <w:ind w:left="0" w:firstLine="709"/>
        <w:rPr>
          <w:szCs w:val="26"/>
        </w:rPr>
      </w:pPr>
      <w:r>
        <w:rPr>
          <w:szCs w:val="26"/>
        </w:rPr>
        <w:t>Указ Президента Российской Федерации от 01.05.2022 № 250 "О дополнительных мерах по обеспечению информационной безопасности Российской Федерации";</w:t>
      </w:r>
    </w:p>
    <w:p>
      <w:pPr>
        <w:pStyle w:val="Standard"/>
        <w:numPr>
          <w:ilvl w:val="1"/>
          <w:numId w:val="4"/>
        </w:numPr>
        <w:ind w:left="0" w:firstLine="709"/>
        <w:rPr>
          <w:szCs w:val="26"/>
        </w:rPr>
      </w:pPr>
      <w:r>
        <w:rPr>
          <w:szCs w:val="26"/>
        </w:rPr>
        <w:t>Приказ ФСТЭК от 25.12.2017 № 239 "об утверждении требований по обеспечению безопасности значимых объектов критической информационной инфраструктуры Российской Федерации";</w:t>
      </w:r>
    </w:p>
    <w:p>
      <w:pPr>
        <w:pStyle w:val="Standard"/>
        <w:widowControl w:val="false"/>
        <w:numPr>
          <w:ilvl w:val="1"/>
          <w:numId w:val="4"/>
        </w:numPr>
        <w:spacing w:before="0" w:after="0"/>
        <w:ind w:left="0" w:firstLine="709"/>
        <w:rPr>
          <w:szCs w:val="26"/>
        </w:rPr>
      </w:pPr>
      <w:r>
        <w:rPr>
          <w:szCs w:val="26"/>
        </w:rPr>
        <w:t>П-ИСМ-7.5-01.20-206-01 Положение об обеспечении безопасности значимых объектов критической информационной инфраструктуры АО «ДРСК»;</w:t>
      </w:r>
    </w:p>
    <w:p>
      <w:pPr>
        <w:pStyle w:val="Standard"/>
        <w:widowControl w:val="false"/>
        <w:numPr>
          <w:ilvl w:val="1"/>
          <w:numId w:val="4"/>
        </w:numPr>
        <w:tabs>
          <w:tab w:val="clear" w:pos="708"/>
          <w:tab w:val="left" w:pos="0" w:leader="none"/>
        </w:tabs>
        <w:spacing w:before="0" w:after="0"/>
        <w:ind w:left="0" w:firstLine="709"/>
        <w:rPr>
          <w:szCs w:val="26"/>
        </w:rPr>
      </w:pPr>
      <w:r>
        <w:rPr>
          <w:szCs w:val="26"/>
        </w:rPr>
        <w:t>Федеральный закон от 26.07.2017 N 187-ФЗ "О безопасности критической информационной инфраструктуры Российской Федерации»;</w:t>
      </w:r>
    </w:p>
    <w:p>
      <w:pPr>
        <w:pStyle w:val="ListParagraph"/>
        <w:widowControl w:val="false"/>
        <w:numPr>
          <w:ilvl w:val="1"/>
          <w:numId w:val="4"/>
        </w:numPr>
        <w:tabs>
          <w:tab w:val="clear" w:pos="708"/>
          <w:tab w:val="left" w:pos="0" w:leader="none"/>
        </w:tabs>
        <w:spacing w:before="0" w:after="0"/>
        <w:ind w:left="0" w:firstLine="709"/>
        <w:contextualSpacing/>
        <w:rPr>
          <w:szCs w:val="26"/>
        </w:rPr>
      </w:pPr>
      <w:r>
        <w:rPr>
          <w:szCs w:val="26"/>
        </w:rPr>
        <w:t xml:space="preserve">Федеральный закон </w:t>
      </w:r>
      <w:hyperlink r:id="rId6">
        <w:r>
          <w:rPr>
            <w:rStyle w:val="Hyperlink"/>
            <w:color w:val="00000A"/>
            <w:szCs w:val="26"/>
          </w:rPr>
          <w:t>от 06.10.03 № 131-ФЗ</w:t>
        </w:r>
      </w:hyperlink>
      <w:r>
        <w:rPr>
          <w:szCs w:val="26"/>
        </w:rPr>
        <w:t xml:space="preserve"> «Об общих принципах организации местного самоуправления в Российской Федерации»;</w:t>
      </w:r>
    </w:p>
    <w:p>
      <w:pPr>
        <w:pStyle w:val="ListParagraph"/>
        <w:widowControl w:val="false"/>
        <w:numPr>
          <w:ilvl w:val="1"/>
          <w:numId w:val="4"/>
        </w:numPr>
        <w:spacing w:before="0" w:after="0"/>
        <w:ind w:left="0" w:firstLine="709"/>
        <w:contextualSpacing/>
        <w:rPr>
          <w:szCs w:val="26"/>
        </w:rPr>
      </w:pPr>
      <w:r>
        <w:rPr>
          <w:szCs w:val="26"/>
        </w:rPr>
        <w:t>Региональные и местные нормативы градостроительного проектирования;</w:t>
      </w:r>
    </w:p>
    <w:p>
      <w:pPr>
        <w:pStyle w:val="ListParagraph"/>
        <w:widowControl w:val="false"/>
        <w:numPr>
          <w:ilvl w:val="1"/>
          <w:numId w:val="4"/>
        </w:numPr>
        <w:spacing w:before="0" w:after="0"/>
        <w:ind w:left="0" w:firstLine="709"/>
        <w:contextualSpacing/>
        <w:rPr>
          <w:szCs w:val="26"/>
        </w:rPr>
      </w:pPr>
      <w:r>
        <w:rPr>
          <w:szCs w:val="26"/>
        </w:rPr>
        <w:t>Нормативные правовые акты Хабаровского края в области градостроительной деятельности.</w:t>
      </w:r>
    </w:p>
    <w:p>
      <w:pPr>
        <w:pStyle w:val="ListParagraph"/>
        <w:widowControl w:val="false"/>
        <w:numPr>
          <w:ilvl w:val="1"/>
          <w:numId w:val="4"/>
        </w:numPr>
        <w:spacing w:before="0" w:after="0"/>
        <w:ind w:left="0" w:firstLine="709"/>
        <w:contextualSpacing/>
        <w:rPr>
          <w:szCs w:val="26"/>
        </w:rPr>
      </w:pPr>
      <w:r>
        <w:rPr>
          <w:szCs w:val="26"/>
        </w:rPr>
        <w:t>Федеральный закон от 25.06.2002 № 73-ФЗ «Об объектах культурного наследия (памятниках истории и культуры) народов Российской Федерации»;</w:t>
      </w:r>
    </w:p>
    <w:p>
      <w:pPr>
        <w:pStyle w:val="ListParagraph"/>
        <w:widowControl w:val="false"/>
        <w:numPr>
          <w:ilvl w:val="1"/>
          <w:numId w:val="4"/>
        </w:numPr>
        <w:spacing w:before="0" w:after="0"/>
        <w:ind w:left="0" w:firstLine="709"/>
        <w:contextualSpacing/>
        <w:rPr>
          <w:szCs w:val="26"/>
        </w:rPr>
      </w:pPr>
      <w:r>
        <w:rPr>
          <w:szCs w:val="26"/>
        </w:rPr>
        <w:t>Действующие технические регламенты, санитарные нормативы и правила, строительные нормы и правила, иные нормативные документы.</w:t>
      </w:r>
    </w:p>
    <w:p>
      <w:pPr>
        <w:pStyle w:val="ListParagraph"/>
        <w:widowControl w:val="false"/>
        <w:numPr>
          <w:ilvl w:val="1"/>
          <w:numId w:val="4"/>
        </w:numPr>
        <w:spacing w:before="0" w:after="0"/>
        <w:ind w:left="0" w:firstLine="709"/>
        <w:contextualSpacing/>
        <w:rPr>
          <w:szCs w:val="26"/>
        </w:rPr>
      </w:pPr>
      <w:hyperlink r:id="rId7">
        <w:r>
          <w:rPr>
            <w:rStyle w:val="Hyperlink"/>
            <w:color w:val="00000A"/>
            <w:szCs w:val="26"/>
          </w:rPr>
          <w:t>СП 42.13330.2016</w:t>
        </w:r>
      </w:hyperlink>
      <w:r>
        <w:rPr>
          <w:szCs w:val="26"/>
        </w:rPr>
        <w:t>. Свод правил. Градостроительство. Планировка и застройка городских и сельских поселений. Актуализированная редакция СНиП 2.07.01-89 (Утв. Приказом Министерства строительства и жилищно-коммунального хозяйства РФ от 30 декабря 2016 г. N 1034/пр);</w:t>
      </w:r>
    </w:p>
    <w:p>
      <w:pPr>
        <w:pStyle w:val="ListParagraph"/>
        <w:widowControl w:val="false"/>
        <w:numPr>
          <w:ilvl w:val="1"/>
          <w:numId w:val="4"/>
        </w:numPr>
        <w:spacing w:before="0" w:after="0"/>
        <w:ind w:left="0" w:firstLine="709"/>
        <w:contextualSpacing/>
        <w:rPr>
          <w:szCs w:val="26"/>
        </w:rPr>
      </w:pPr>
      <w:r>
        <w:rPr>
          <w:szCs w:val="26"/>
        </w:rPr>
        <w:t>Положение о составе разделов проектной документации и требования к их содержанию (Утв. Постановлением Правительства РФ от 16.02.2008 г. №87).</w:t>
      </w:r>
    </w:p>
    <w:p>
      <w:pPr>
        <w:pStyle w:val="ListParagraph"/>
        <w:widowControl w:val="false"/>
        <w:numPr>
          <w:ilvl w:val="1"/>
          <w:numId w:val="4"/>
        </w:numPr>
        <w:spacing w:before="0" w:after="0"/>
        <w:ind w:left="0" w:firstLine="709"/>
        <w:contextualSpacing/>
        <w:rPr>
          <w:szCs w:val="26"/>
        </w:rPr>
      </w:pPr>
      <w:r>
        <w:rPr>
          <w:szCs w:val="26"/>
        </w:rPr>
        <w:t>ГОСТ Р 21.1101-2020 Национальный стандарт Российской Федерации. Система проектной документации для строительства. Основные требования к проектной и рабочей документации.</w:t>
      </w:r>
    </w:p>
    <w:p>
      <w:pPr>
        <w:pStyle w:val="ListParagraph"/>
        <w:widowControl w:val="false"/>
        <w:numPr>
          <w:ilvl w:val="1"/>
          <w:numId w:val="4"/>
        </w:numPr>
        <w:spacing w:before="0" w:after="0"/>
        <w:ind w:left="0" w:firstLine="709"/>
        <w:contextualSpacing/>
        <w:rPr>
          <w:szCs w:val="26"/>
        </w:rPr>
      </w:pPr>
      <w:r>
        <w:rPr>
          <w:szCs w:val="26"/>
        </w:rPr>
        <w:t>ФЗ-123 «Технический регламент о требованиях пожарной безопасности» от 22.07.2008 г.</w:t>
      </w:r>
    </w:p>
    <w:p>
      <w:pPr>
        <w:pStyle w:val="ListParagraph"/>
        <w:widowControl w:val="false"/>
        <w:numPr>
          <w:ilvl w:val="1"/>
          <w:numId w:val="4"/>
        </w:numPr>
        <w:spacing w:before="0" w:after="0"/>
        <w:ind w:left="0" w:firstLine="709"/>
        <w:contextualSpacing/>
        <w:rPr>
          <w:szCs w:val="26"/>
        </w:rPr>
      </w:pPr>
      <w:r>
        <w:rPr>
          <w:szCs w:val="26"/>
        </w:rPr>
        <w:t>ПУЭ и ПТЭ (действующие издания);</w:t>
      </w:r>
    </w:p>
    <w:p>
      <w:pPr>
        <w:pStyle w:val="ListParagraph"/>
        <w:widowControl w:val="false"/>
        <w:numPr>
          <w:ilvl w:val="1"/>
          <w:numId w:val="4"/>
        </w:numPr>
        <w:spacing w:before="0" w:after="0"/>
        <w:ind w:left="0" w:firstLine="709"/>
        <w:contextualSpacing/>
        <w:rPr>
          <w:szCs w:val="26"/>
        </w:rPr>
      </w:pPr>
      <w:r>
        <w:rPr>
          <w:szCs w:val="26"/>
        </w:rPr>
        <w:t>И-ИСМ-6.3-01.08-4384-02 Инструкция по объему и периодичности испытаний кабелей 10-110 кв с изоляцией из сшитого полиэтилена</w:t>
      </w:r>
    </w:p>
    <w:p>
      <w:pPr>
        <w:pStyle w:val="ListParagraph"/>
        <w:widowControl w:val="false"/>
        <w:numPr>
          <w:ilvl w:val="1"/>
          <w:numId w:val="4"/>
        </w:numPr>
        <w:spacing w:before="0" w:after="0"/>
        <w:ind w:left="0" w:firstLine="709"/>
        <w:contextualSpacing/>
        <w:rPr>
          <w:szCs w:val="26"/>
        </w:rPr>
      </w:pPr>
      <w:hyperlink r:id="rId8">
        <w:r>
          <w:rPr>
            <w:rStyle w:val="Hyperlink"/>
            <w:color w:val="00000A"/>
            <w:szCs w:val="26"/>
          </w:rPr>
          <w:t>СП 47.13330.2016</w:t>
        </w:r>
      </w:hyperlink>
      <w:r>
        <w:rPr>
          <w:szCs w:val="26"/>
        </w:rPr>
        <w:t xml:space="preserve">. Свод правил. Инженерные изыскания для строительства. Основные положения. (Актуализированная редакция </w:t>
      </w:r>
      <w:hyperlink r:id="rId9">
        <w:r>
          <w:rPr>
            <w:rStyle w:val="Hyperlink"/>
            <w:color w:val="00000A"/>
            <w:szCs w:val="26"/>
          </w:rPr>
          <w:t>СНиП 11-02-96</w:t>
        </w:r>
      </w:hyperlink>
      <w:r>
        <w:rPr>
          <w:szCs w:val="26"/>
        </w:rPr>
        <w:t xml:space="preserve">), утв. </w:t>
      </w:r>
      <w:hyperlink r:id="rId10">
        <w:r>
          <w:rPr>
            <w:rStyle w:val="Hyperlink"/>
            <w:color w:val="00000A"/>
            <w:szCs w:val="26"/>
          </w:rPr>
          <w:t>Приказом Министерства строительства и жилищно-коммунального хозяйства Российской Федерации от 30 декабря 2016 г. N 1033/пр</w:t>
        </w:r>
      </w:hyperlink>
      <w:r>
        <w:rPr>
          <w:szCs w:val="26"/>
        </w:rPr>
        <w:t>., c изменениями.</w:t>
      </w:r>
    </w:p>
    <w:p>
      <w:pPr>
        <w:pStyle w:val="ListParagraph"/>
        <w:numPr>
          <w:ilvl w:val="1"/>
          <w:numId w:val="4"/>
        </w:numPr>
        <w:spacing w:lineRule="auto" w:line="276" w:before="0" w:after="200"/>
        <w:ind w:left="0" w:firstLine="709"/>
        <w:contextualSpacing/>
        <w:rPr>
          <w:szCs w:val="26"/>
        </w:rPr>
      </w:pPr>
      <w:r>
        <w:rPr>
          <w:rFonts w:eastAsia="Calibri"/>
          <w:szCs w:val="26"/>
        </w:rPr>
        <w:t>Распоряжение</w:t>
      </w:r>
      <w:r>
        <w:rPr>
          <w:szCs w:val="26"/>
        </w:rPr>
        <w:t xml:space="preserve"> ПАО «РусГидро» от 06.04.2021 №146р «О применении региональных карт».</w:t>
      </w:r>
      <w:r>
        <w:rPr>
          <w:rFonts w:eastAsia="Calibri"/>
          <w:szCs w:val="26"/>
        </w:rPr>
        <w:t xml:space="preserve"> Региональные карты климатического районирования (РККР) Хабаровского края, утвержденные Приказами АО «ДРСК»  от 15.04.2021 №163 и  от 18.10.2021 №346. РККК считать приоритетными относительно других источников аналогичной информации (Правила устройства электроустановок; РККР, разработанные ГУ «Главная геофизическая обсерватория им. А.И. Воейкова» и др.)</w:t>
      </w:r>
    </w:p>
    <w:p>
      <w:pPr>
        <w:pStyle w:val="ListParagraph"/>
        <w:numPr>
          <w:ilvl w:val="1"/>
          <w:numId w:val="4"/>
        </w:numPr>
        <w:spacing w:lineRule="auto" w:line="276" w:before="0" w:after="0"/>
        <w:ind w:left="0" w:firstLine="709"/>
        <w:contextualSpacing/>
        <w:rPr>
          <w:szCs w:val="26"/>
        </w:rPr>
      </w:pPr>
      <w:hyperlink r:id="rId11">
        <w:r>
          <w:rPr>
            <w:rStyle w:val="Hyperlink"/>
            <w:color w:val="00000A"/>
            <w:szCs w:val="26"/>
          </w:rPr>
          <w:t>ГОСТ Р 55105-2019</w:t>
        </w:r>
      </w:hyperlink>
      <w:r>
        <w:rPr>
          <w:szCs w:val="26"/>
        </w:rPr>
        <w:t>. Национальный стандарт Российской Федерации. 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требования;</w:t>
      </w:r>
    </w:p>
    <w:p>
      <w:pPr>
        <w:pStyle w:val="ListParagraph"/>
        <w:widowControl w:val="false"/>
        <w:numPr>
          <w:ilvl w:val="1"/>
          <w:numId w:val="4"/>
        </w:numPr>
        <w:spacing w:before="0" w:after="0"/>
        <w:ind w:left="0" w:firstLine="709"/>
        <w:contextualSpacing/>
        <w:rPr>
          <w:szCs w:val="26"/>
        </w:rPr>
      </w:pPr>
      <w:hyperlink r:id="rId12">
        <w:r>
          <w:rPr>
            <w:rStyle w:val="Hyperlink"/>
            <w:color w:val="00000A"/>
            <w:szCs w:val="26"/>
          </w:rPr>
          <w:t>ГОСТ Р 56302—2014</w:t>
        </w:r>
      </w:hyperlink>
      <w:r>
        <w:rPr>
          <w:szCs w:val="26"/>
        </w:rPr>
        <w:t>. Национальный стандарт Российской Федерации. 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требования;</w:t>
      </w:r>
    </w:p>
    <w:p>
      <w:pPr>
        <w:pStyle w:val="ListParagraph"/>
        <w:widowControl w:val="false"/>
        <w:numPr>
          <w:ilvl w:val="1"/>
          <w:numId w:val="4"/>
        </w:numPr>
        <w:spacing w:before="0" w:after="0"/>
        <w:ind w:left="0" w:firstLine="709"/>
        <w:contextualSpacing/>
        <w:rPr>
          <w:szCs w:val="26"/>
        </w:rPr>
      </w:pPr>
      <w:hyperlink r:id="rId13">
        <w:r>
          <w:rPr>
            <w:rStyle w:val="Hyperlink"/>
            <w:color w:val="00000A"/>
            <w:szCs w:val="26"/>
          </w:rPr>
          <w:t>ГОСТ Р 56303-2014</w:t>
        </w:r>
      </w:hyperlink>
      <w:r>
        <w:rPr>
          <w:szCs w:val="26"/>
        </w:rPr>
        <w:t>. Национальный стандарт Российской Федерации. Единая энергетическая система и изолированно работающие энергосистемы. Оперативно-диспетчерское управление. Нормальные схемы электрических соединений объектов электроэнергетики. Общие требования к графическому исполнению;</w:t>
      </w:r>
    </w:p>
    <w:p>
      <w:pPr>
        <w:pStyle w:val="ListParagraph"/>
        <w:widowControl w:val="false"/>
        <w:numPr>
          <w:ilvl w:val="1"/>
          <w:numId w:val="4"/>
        </w:numPr>
        <w:spacing w:before="0" w:after="0"/>
        <w:ind w:left="0" w:firstLine="709"/>
        <w:contextualSpacing/>
        <w:rPr>
          <w:szCs w:val="26"/>
        </w:rPr>
      </w:pPr>
      <w:r>
        <w:rPr>
          <w:bCs/>
          <w:szCs w:val="26"/>
        </w:rPr>
        <w:t xml:space="preserve">Правила создания (модернизации) комплексов и устройств релейной защиты и автоматики в энергосистеме, утверждённые приказом Министерства энергетики РФ </w:t>
        <w:br/>
      </w:r>
      <w:hyperlink r:id="rId14">
        <w:r>
          <w:rPr>
            <w:rStyle w:val="Hyperlink"/>
            <w:bCs/>
            <w:color w:val="00000A"/>
            <w:szCs w:val="26"/>
          </w:rPr>
          <w:t>от 13 июля 2020 г. № 556</w:t>
        </w:r>
      </w:hyperlink>
      <w:r>
        <w:rPr>
          <w:bCs/>
          <w:szCs w:val="26"/>
        </w:rPr>
        <w:t>.</w:t>
      </w:r>
    </w:p>
    <w:p>
      <w:pPr>
        <w:pStyle w:val="ListParagraph"/>
        <w:widowControl w:val="false"/>
        <w:numPr>
          <w:ilvl w:val="1"/>
          <w:numId w:val="4"/>
        </w:numPr>
        <w:spacing w:before="0" w:after="0"/>
        <w:ind w:left="0" w:firstLine="709"/>
        <w:contextualSpacing/>
        <w:rPr>
          <w:szCs w:val="26"/>
        </w:rPr>
      </w:pPr>
      <w:r>
        <w:rPr>
          <w:szCs w:val="26"/>
        </w:rPr>
        <w:t>ГОСТ Р 58669-2019 «Единая энергетическая система и изолированно работающие энергосистемы. Релейная защита. Трансформаторы тока измерительные индуктивные с замкнутым магнитопроводом для защиты. Методические указания по определению времени до насыщения при коротких замыканиях».</w:t>
      </w:r>
    </w:p>
    <w:p>
      <w:pPr>
        <w:pStyle w:val="ListParagraph"/>
        <w:widowControl w:val="false"/>
        <w:numPr>
          <w:ilvl w:val="1"/>
          <w:numId w:val="4"/>
        </w:numPr>
        <w:spacing w:before="0" w:after="0"/>
        <w:ind w:left="0" w:firstLine="709"/>
        <w:contextualSpacing/>
        <w:rPr>
          <w:szCs w:val="26"/>
        </w:rPr>
      </w:pPr>
      <w:r>
        <w:rPr>
          <w:szCs w:val="26"/>
        </w:rPr>
        <w:t>Техническая политика Группы РусГидро.</w:t>
      </w:r>
    </w:p>
    <w:p>
      <w:pPr>
        <w:pStyle w:val="ListParagraph"/>
        <w:widowControl w:val="false"/>
        <w:numPr>
          <w:ilvl w:val="1"/>
          <w:numId w:val="4"/>
        </w:numPr>
        <w:spacing w:before="0" w:after="0"/>
        <w:ind w:left="0" w:firstLine="709"/>
        <w:contextualSpacing/>
        <w:rPr>
          <w:szCs w:val="26"/>
        </w:rPr>
      </w:pPr>
      <w:r>
        <w:rPr>
          <w:szCs w:val="26"/>
        </w:rPr>
        <w:t>Приказ Минэнерго России от 17.02.2023 N 82 "Об утверждении Порядка раскрытия цифровых информационных моделей электроэнергетических систем и предоставления системным оператором иным субъектам электроэнергетики, потребителям электрической энергии и проектным организациям перспективных расчетных моделей электроэнергетических систем или фрагментов таких моделей для целей перспективного развития электроэнергетики и о внесении изменений в Правила разработки и согласования схем выдачи мощности объектов по производству электрической энергии и схем внешнего электроснабжения энергопринимающих устройств потребителей электрической энергии, утвержденные приказом Минэнерго России от 28 декабря 2020 г. N 1195".</w:t>
      </w:r>
    </w:p>
    <w:p>
      <w:pPr>
        <w:pStyle w:val="ListParagraph"/>
        <w:widowControl w:val="false"/>
        <w:numPr>
          <w:ilvl w:val="1"/>
          <w:numId w:val="4"/>
        </w:numPr>
        <w:spacing w:before="0" w:after="0"/>
        <w:ind w:left="0" w:firstLine="709"/>
        <w:contextualSpacing/>
        <w:rPr>
          <w:szCs w:val="26"/>
        </w:rPr>
      </w:pPr>
      <w:r>
        <w:rPr>
          <w:szCs w:val="26"/>
        </w:rPr>
        <w:t>Приказ Минэнерго России от 13.02.2019 N 97 "Об утверждении требований к каналам связи для функционирования релейной защиты и автоматики".</w:t>
      </w:r>
    </w:p>
    <w:p>
      <w:pPr>
        <w:pStyle w:val="ListParagraph"/>
        <w:widowControl w:val="false"/>
        <w:numPr>
          <w:ilvl w:val="1"/>
          <w:numId w:val="4"/>
        </w:numPr>
        <w:spacing w:before="0" w:after="0"/>
        <w:ind w:left="0" w:firstLine="709"/>
        <w:contextualSpacing/>
        <w:rPr>
          <w:szCs w:val="26"/>
        </w:rPr>
      </w:pPr>
      <w:r>
        <w:rPr>
          <w:szCs w:val="26"/>
        </w:rPr>
        <w:t>Приказ Минэнерго России от 10.07.2020 N 546 "Об утверждении требований к релейной защите и автоматике различных видов и ее функционированию в составе энергосистемы и о внесении изменений в приказы Минэнерго России от 8 февраля 2019 г. N 80, от 13 февраля 2019 г. N 100, от 13 февраля 2019 г. N 101".</w:t>
      </w:r>
    </w:p>
    <w:p>
      <w:pPr>
        <w:pStyle w:val="ListParagraph"/>
        <w:widowControl w:val="false"/>
        <w:numPr>
          <w:ilvl w:val="1"/>
          <w:numId w:val="4"/>
        </w:numPr>
        <w:spacing w:before="0" w:after="0"/>
        <w:ind w:left="0" w:firstLine="709"/>
        <w:contextualSpacing/>
        <w:rPr>
          <w:szCs w:val="26"/>
        </w:rPr>
      </w:pPr>
      <w:r>
        <w:rPr>
          <w:szCs w:val="26"/>
        </w:rPr>
        <w:t>Приказ Минэнерго России от 13.02.2019 N 100 (ред. от 15.01.2024) "Об утверждении Правил взаимодействия субъектов электроэнергетики, потребителей электрической энергии при подготовке, выдаче и выполнении заданий по настройке устройств релейной защиты и автоматики".</w:t>
      </w:r>
    </w:p>
    <w:p>
      <w:pPr>
        <w:pStyle w:val="ListParagraph"/>
        <w:widowControl w:val="false"/>
        <w:numPr>
          <w:ilvl w:val="1"/>
          <w:numId w:val="4"/>
        </w:numPr>
        <w:spacing w:before="0" w:after="0"/>
        <w:ind w:left="0" w:firstLine="709"/>
        <w:contextualSpacing/>
        <w:rPr>
          <w:szCs w:val="26"/>
        </w:rPr>
      </w:pPr>
      <w:r>
        <w:rPr>
          <w:szCs w:val="26"/>
        </w:rPr>
        <w:t>ГОСТ Р 59550-2021. Национальный стандарт Российской Федерации. Единая энергетическая система и изолированно работающие энергосистемы. Релейная защита и автоматика. Сбор, хранение и передача в диспетчерские центры в автоматическом режиме файлов с данными регистрации аварийных событий. Нормы и требования".</w:t>
      </w:r>
    </w:p>
    <w:p>
      <w:pPr>
        <w:pStyle w:val="ListParagraph"/>
        <w:widowControl w:val="false"/>
        <w:numPr>
          <w:ilvl w:val="1"/>
          <w:numId w:val="4"/>
        </w:numPr>
        <w:spacing w:before="0" w:after="0"/>
        <w:ind w:left="0" w:firstLine="709"/>
        <w:contextualSpacing/>
        <w:rPr>
          <w:szCs w:val="26"/>
        </w:rPr>
      </w:pPr>
      <w:r>
        <w:rPr>
          <w:szCs w:val="26"/>
        </w:rPr>
        <w:t>ГОСТ Р 58601-2019. Национальный стандарт Российской Федерации. Единая энергетическая система и изолированно работающие энергосистемы. Оперативно-диспетчерское управление. Релейная защита и автоматика. Автономные регистраторы аварийных событий. Нормы и требования".</w:t>
      </w:r>
    </w:p>
    <w:p>
      <w:pPr>
        <w:pStyle w:val="ListParagraph"/>
        <w:widowControl w:val="false"/>
        <w:numPr>
          <w:ilvl w:val="1"/>
          <w:numId w:val="4"/>
        </w:numPr>
        <w:spacing w:before="0" w:after="0"/>
        <w:ind w:left="0" w:firstLine="709"/>
        <w:contextualSpacing/>
        <w:rPr>
          <w:szCs w:val="26"/>
        </w:rPr>
      </w:pPr>
      <w:r>
        <w:rPr>
          <w:szCs w:val="26"/>
        </w:rPr>
        <w:t>Приказ Министерства энергетики Российской Федерации от 15.01.2024 № 6 . "Об утверждении Методических указаний по технологическому проектированию подстанций переменного тока с высшим напряжением 35 - 750 кВ".</w:t>
      </w:r>
    </w:p>
    <w:p>
      <w:pPr>
        <w:pStyle w:val="ListParagraph"/>
        <w:widowControl w:val="false"/>
        <w:tabs>
          <w:tab w:val="clear" w:pos="708"/>
          <w:tab w:val="left" w:pos="0" w:leader="none"/>
          <w:tab w:val="left" w:pos="993" w:leader="none"/>
        </w:tabs>
        <w:spacing w:before="0" w:after="0"/>
        <w:ind w:left="0" w:firstLine="737"/>
        <w:contextualSpacing/>
        <w:rPr>
          <w:szCs w:val="26"/>
        </w:rPr>
      </w:pPr>
      <w:r>
        <w:rPr>
          <w:color w:val="000000" w:themeColor="text1"/>
          <w:szCs w:val="26"/>
        </w:rPr>
        <w:t>При проектировании необходимо руководствоваться последними редакциями документов, необходимых и действующих на момент разработки документации, в том числе не указанных в данном пункте.</w:t>
      </w:r>
    </w:p>
    <w:p>
      <w:pPr>
        <w:pStyle w:val="ListParagraph"/>
        <w:widowControl w:val="false"/>
        <w:tabs>
          <w:tab w:val="clear" w:pos="708"/>
          <w:tab w:val="left" w:pos="0" w:leader="none"/>
          <w:tab w:val="left" w:pos="993" w:leader="none"/>
        </w:tabs>
        <w:spacing w:before="0" w:after="0"/>
        <w:ind w:left="0" w:hanging="0"/>
        <w:contextualSpacing/>
        <w:rPr>
          <w:szCs w:val="26"/>
        </w:rPr>
      </w:pPr>
      <w:r>
        <w:rPr>
          <w:szCs w:val="26"/>
        </w:rPr>
      </w:r>
      <w:r>
        <w:br w:type="page"/>
      </w:r>
    </w:p>
    <w:p>
      <w:pPr>
        <w:pStyle w:val="Normal"/>
        <w:widowControl w:val="false"/>
        <w:numPr>
          <w:ilvl w:val="0"/>
          <w:numId w:val="4"/>
        </w:numPr>
        <w:shd w:val="clear" w:color="auto" w:fill="FFFFFF"/>
        <w:tabs>
          <w:tab w:val="clear" w:pos="708"/>
          <w:tab w:val="left" w:pos="284" w:leader="none"/>
          <w:tab w:val="left" w:pos="567" w:leader="none"/>
          <w:tab w:val="left" w:pos="709" w:leader="none"/>
          <w:tab w:val="left" w:pos="5103" w:leader="none"/>
          <w:tab w:val="left" w:pos="7230" w:leader="none"/>
        </w:tabs>
        <w:spacing w:before="0" w:after="0"/>
        <w:ind w:left="0" w:firstLine="709"/>
        <w:rPr>
          <w:szCs w:val="26"/>
        </w:rPr>
      </w:pPr>
      <w:r>
        <w:rPr>
          <w:b/>
          <w:szCs w:val="26"/>
        </w:rPr>
        <w:t>Основные характеристики реконструируемого (строящегося) объекта .</w:t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284" w:leader="none"/>
          <w:tab w:val="left" w:pos="567" w:leader="none"/>
          <w:tab w:val="left" w:pos="709" w:leader="none"/>
          <w:tab w:val="left" w:pos="5103" w:leader="none"/>
          <w:tab w:val="left" w:pos="7230" w:leader="none"/>
        </w:tabs>
        <w:spacing w:before="0" w:after="0"/>
        <w:rPr>
          <w:b/>
          <w:szCs w:val="26"/>
        </w:rPr>
      </w:pPr>
      <w:r>
        <w:rPr>
          <w:b/>
          <w:szCs w:val="26"/>
        </w:rPr>
      </w:r>
    </w:p>
    <w:p>
      <w:pPr>
        <w:pStyle w:val="Normal"/>
        <w:widowControl w:val="false"/>
        <w:tabs>
          <w:tab w:val="clear" w:pos="708"/>
          <w:tab w:val="left" w:pos="0" w:leader="none"/>
        </w:tabs>
        <w:spacing w:before="0" w:after="0"/>
        <w:ind w:firstLine="737"/>
        <w:contextualSpacing/>
        <w:rPr>
          <w:szCs w:val="26"/>
        </w:rPr>
      </w:pPr>
      <w:r>
        <w:rPr>
          <w:b/>
          <w:bCs/>
          <w:color w:val="000000" w:themeColor="text1"/>
          <w:szCs w:val="26"/>
        </w:rPr>
        <w:t xml:space="preserve">3.1. КЛ-6 кВ от новой линейной ячейки РУ-6 кВ ПС 110/35/6 кВ «Южная» </w:t>
      </w:r>
    </w:p>
    <w:p>
      <w:pPr>
        <w:pStyle w:val="ListParagraph"/>
        <w:widowControl w:val="false"/>
        <w:tabs>
          <w:tab w:val="clear" w:pos="708"/>
          <w:tab w:val="left" w:pos="284" w:leader="none"/>
        </w:tabs>
        <w:spacing w:before="0" w:after="0"/>
        <w:ind w:left="0" w:firstLine="709"/>
        <w:contextualSpacing/>
        <w:rPr>
          <w:b/>
          <w:color w:val="000000" w:themeColor="text1"/>
          <w:szCs w:val="26"/>
        </w:rPr>
      </w:pPr>
      <w:r>
        <w:rPr>
          <w:b/>
          <w:color w:val="000000" w:themeColor="text1"/>
          <w:szCs w:val="26"/>
        </w:rPr>
      </w:r>
    </w:p>
    <w:tbl>
      <w:tblPr>
        <w:tblW w:w="10060" w:type="dxa"/>
        <w:jc w:val="left"/>
        <w:tblInd w:w="211" w:type="dxa"/>
        <w:tblLayout w:type="fixed"/>
        <w:tblCellMar>
          <w:top w:w="0" w:type="dxa"/>
          <w:left w:w="9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6285"/>
        <w:gridCol w:w="3774"/>
      </w:tblGrid>
      <w:tr>
        <w:trPr/>
        <w:tc>
          <w:tcPr>
            <w:tcW w:w="6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pacing w:before="0" w:after="0"/>
              <w:jc w:val="center"/>
              <w:rPr>
                <w:szCs w:val="26"/>
              </w:rPr>
            </w:pPr>
            <w:r>
              <w:rPr>
                <w:szCs w:val="26"/>
              </w:rPr>
              <w:t>Показатель</w:t>
            </w:r>
          </w:p>
        </w:tc>
        <w:tc>
          <w:tcPr>
            <w:tcW w:w="3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pacing w:before="0" w:after="0"/>
              <w:jc w:val="center"/>
              <w:rPr>
                <w:szCs w:val="26"/>
              </w:rPr>
            </w:pPr>
            <w:r>
              <w:rPr>
                <w:szCs w:val="26"/>
              </w:rPr>
              <w:t>Значение*</w:t>
            </w:r>
          </w:p>
        </w:tc>
      </w:tr>
      <w:tr>
        <w:trPr/>
        <w:tc>
          <w:tcPr>
            <w:tcW w:w="6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pacing w:before="0" w:after="0"/>
              <w:rPr>
                <w:szCs w:val="26"/>
              </w:rPr>
            </w:pPr>
            <w:r>
              <w:rPr>
                <w:szCs w:val="26"/>
              </w:rPr>
              <w:t>Номинальное напряжение</w:t>
            </w:r>
          </w:p>
        </w:tc>
        <w:tc>
          <w:tcPr>
            <w:tcW w:w="3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pacing w:before="0" w:after="0"/>
              <w:rPr>
                <w:szCs w:val="26"/>
              </w:rPr>
            </w:pPr>
            <w:r>
              <w:rPr>
                <w:szCs w:val="26"/>
              </w:rPr>
              <w:t>6</w:t>
            </w:r>
          </w:p>
        </w:tc>
      </w:tr>
      <w:tr>
        <w:trPr/>
        <w:tc>
          <w:tcPr>
            <w:tcW w:w="6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pacing w:before="0" w:after="0"/>
              <w:rPr>
                <w:szCs w:val="26"/>
              </w:rPr>
            </w:pPr>
            <w:r>
              <w:rPr>
                <w:szCs w:val="26"/>
              </w:rPr>
              <w:t>Исполнение</w:t>
            </w:r>
          </w:p>
        </w:tc>
        <w:tc>
          <w:tcPr>
            <w:tcW w:w="3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pacing w:before="0" w:after="0"/>
              <w:jc w:val="left"/>
              <w:rPr>
                <w:szCs w:val="26"/>
              </w:rPr>
            </w:pPr>
            <w:r>
              <w:rPr>
                <w:szCs w:val="26"/>
              </w:rPr>
              <w:t>Кабельное</w:t>
            </w:r>
          </w:p>
        </w:tc>
      </w:tr>
      <w:tr>
        <w:trPr/>
        <w:tc>
          <w:tcPr>
            <w:tcW w:w="6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pacing w:before="0" w:after="0"/>
              <w:rPr>
                <w:color w:val="050000"/>
                <w:szCs w:val="26"/>
              </w:rPr>
            </w:pPr>
            <w:r>
              <w:rPr>
                <w:color w:val="050000"/>
                <w:szCs w:val="26"/>
              </w:rPr>
              <w:t>Передаваемая мощность</w:t>
            </w:r>
          </w:p>
        </w:tc>
        <w:tc>
          <w:tcPr>
            <w:tcW w:w="3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napToGrid w:val="false"/>
              <w:spacing w:before="0" w:after="0"/>
              <w:rPr>
                <w:color w:val="050000"/>
                <w:szCs w:val="26"/>
              </w:rPr>
            </w:pPr>
            <w:r>
              <w:rPr>
                <w:color w:val="050000"/>
                <w:szCs w:val="26"/>
              </w:rPr>
              <w:t>Определить проектом</w:t>
            </w:r>
          </w:p>
        </w:tc>
      </w:tr>
      <w:tr>
        <w:trPr/>
        <w:tc>
          <w:tcPr>
            <w:tcW w:w="62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pacing w:before="0" w:after="0"/>
              <w:ind w:left="22" w:hanging="22"/>
              <w:rPr>
                <w:szCs w:val="26"/>
              </w:rPr>
            </w:pPr>
            <w:r>
              <w:rPr>
                <w:szCs w:val="26"/>
              </w:rPr>
              <w:t>Длина трассы, марка, сечение кабеля</w:t>
            </w:r>
          </w:p>
        </w:tc>
        <w:tc>
          <w:tcPr>
            <w:tcW w:w="377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pacing w:before="0" w:after="0"/>
              <w:jc w:val="left"/>
              <w:rPr>
                <w:szCs w:val="26"/>
              </w:rPr>
            </w:pPr>
            <w:r>
              <w:rPr>
                <w:szCs w:val="26"/>
              </w:rPr>
              <w:t>0,78 км, в том числе:</w:t>
            </w:r>
          </w:p>
          <w:p>
            <w:pPr>
              <w:pStyle w:val="Standard"/>
              <w:widowControl w:val="false"/>
              <w:spacing w:before="0" w:after="0"/>
              <w:jc w:val="left"/>
              <w:rPr>
                <w:szCs w:val="26"/>
              </w:rPr>
            </w:pPr>
            <w:r>
              <w:rPr>
                <w:szCs w:val="26"/>
              </w:rPr>
              <w:t>- В кабельном исполнении 3х жильным кабелем с прокладкой одного кабеля в блоке с сечением жил не менее 120 мм2, ориентировочной протяженностью 0,4 км (уточнить проектом)</w:t>
            </w:r>
          </w:p>
          <w:p>
            <w:pPr>
              <w:pStyle w:val="Standard"/>
              <w:widowControl w:val="false"/>
              <w:spacing w:before="0" w:after="0"/>
              <w:jc w:val="left"/>
              <w:rPr>
                <w:szCs w:val="26"/>
              </w:rPr>
            </w:pPr>
            <w:r>
              <w:rPr>
                <w:szCs w:val="26"/>
              </w:rPr>
              <w:t>- В кабельном исполнении 3х жильным кабелем с прокладкой одного кабеля в блоке с сечением жил не менее 120 мм2 методом ГНБ ориентировочной протяженностью 0,38 км (уточнить проектом)</w:t>
            </w:r>
          </w:p>
          <w:p>
            <w:pPr>
              <w:pStyle w:val="Standard"/>
              <w:widowControl w:val="false"/>
              <w:spacing w:before="0" w:after="0"/>
              <w:jc w:val="left"/>
              <w:rPr>
                <w:szCs w:val="26"/>
              </w:rPr>
            </w:pPr>
            <w:r>
              <w:rPr>
                <w:szCs w:val="26"/>
              </w:rPr>
              <w:t>Сечение проводников КЛ 6 кВ, трассу прохождения, протяжённость и конструктивные особенности уточнить проектом</w:t>
            </w:r>
          </w:p>
          <w:p>
            <w:pPr>
              <w:pStyle w:val="Standard"/>
              <w:widowControl w:val="false"/>
              <w:spacing w:before="0" w:after="0"/>
              <w:rPr>
                <w:szCs w:val="26"/>
              </w:rPr>
            </w:pPr>
            <w:r>
              <w:rPr>
                <w:szCs w:val="26"/>
              </w:rPr>
            </w:r>
          </w:p>
        </w:tc>
      </w:tr>
      <w:tr>
        <w:trPr/>
        <w:tc>
          <w:tcPr>
            <w:tcW w:w="6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pacing w:before="0" w:after="0"/>
              <w:rPr>
                <w:szCs w:val="26"/>
              </w:rPr>
            </w:pPr>
            <w:r>
              <w:rPr>
                <w:szCs w:val="26"/>
              </w:rPr>
              <w:t>Наличие переходов через естественные и искусственные преграды</w:t>
            </w:r>
          </w:p>
        </w:tc>
        <w:tc>
          <w:tcPr>
            <w:tcW w:w="3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pacing w:before="0" w:after="0"/>
              <w:rPr>
                <w:szCs w:val="26"/>
              </w:rPr>
            </w:pPr>
            <w:r>
              <w:rPr>
                <w:szCs w:val="26"/>
              </w:rPr>
              <w:t>Уточнить проектом</w:t>
            </w:r>
          </w:p>
        </w:tc>
      </w:tr>
      <w:tr>
        <w:trPr/>
        <w:tc>
          <w:tcPr>
            <w:tcW w:w="6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pacing w:before="0" w:after="0"/>
              <w:rPr>
                <w:szCs w:val="26"/>
              </w:rPr>
            </w:pPr>
            <w:r>
              <w:rPr>
                <w:szCs w:val="26"/>
              </w:rPr>
              <w:t>Число часов использования максимума нагрузки</w:t>
            </w:r>
          </w:p>
        </w:tc>
        <w:tc>
          <w:tcPr>
            <w:tcW w:w="3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pacing w:before="0" w:after="0"/>
              <w:rPr>
                <w:szCs w:val="26"/>
              </w:rPr>
            </w:pPr>
            <w:r>
              <w:rPr>
                <w:szCs w:val="26"/>
              </w:rPr>
              <w:t>Уточнить проектом</w:t>
            </w:r>
          </w:p>
        </w:tc>
      </w:tr>
      <w:tr>
        <w:trPr/>
        <w:tc>
          <w:tcPr>
            <w:tcW w:w="6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pacing w:before="0" w:after="0"/>
              <w:rPr>
                <w:szCs w:val="26"/>
              </w:rPr>
            </w:pPr>
            <w:r>
              <w:rPr>
                <w:szCs w:val="26"/>
              </w:rPr>
              <w:t>Прочие особенности ВЛ (КЛ), включая рекомендации по типу опор и изоляции (с уточнением в проекте)</w:t>
            </w:r>
          </w:p>
        </w:tc>
        <w:tc>
          <w:tcPr>
            <w:tcW w:w="3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pacing w:before="0" w:after="0"/>
              <w:rPr>
                <w:szCs w:val="26"/>
              </w:rPr>
            </w:pPr>
            <w:r>
              <w:rPr>
                <w:szCs w:val="26"/>
              </w:rPr>
              <w:t>Уточнить проектом</w:t>
            </w:r>
          </w:p>
        </w:tc>
      </w:tr>
      <w:tr>
        <w:trPr/>
        <w:tc>
          <w:tcPr>
            <w:tcW w:w="6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pacing w:before="0" w:after="0"/>
              <w:rPr>
                <w:szCs w:val="26"/>
              </w:rPr>
            </w:pPr>
            <w:r>
              <w:rPr>
                <w:szCs w:val="26"/>
              </w:rPr>
              <w:t>Точка присоединения</w:t>
            </w:r>
          </w:p>
        </w:tc>
        <w:tc>
          <w:tcPr>
            <w:tcW w:w="3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pacing w:before="0" w:after="0"/>
              <w:rPr>
                <w:szCs w:val="26"/>
              </w:rPr>
            </w:pPr>
            <w:r>
              <w:rPr>
                <w:szCs w:val="26"/>
              </w:rPr>
              <w:t>Элементы электрической сети ЛЭП 6 кВ, строящейся от РУ-6 кВ ПС 110/35/6 кВ Южная</w:t>
            </w:r>
          </w:p>
        </w:tc>
      </w:tr>
      <w:tr>
        <w:trPr/>
        <w:tc>
          <w:tcPr>
            <w:tcW w:w="6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pacing w:before="0" w:after="0"/>
              <w:rPr>
                <w:szCs w:val="26"/>
              </w:rPr>
            </w:pPr>
            <w:r>
              <w:rPr>
                <w:szCs w:val="26"/>
              </w:rPr>
              <w:t>Категория надежности</w:t>
            </w:r>
          </w:p>
        </w:tc>
        <w:tc>
          <w:tcPr>
            <w:tcW w:w="3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pacing w:before="0" w:after="0"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III</w:t>
            </w:r>
          </w:p>
        </w:tc>
      </w:tr>
      <w:tr>
        <w:trPr/>
        <w:tc>
          <w:tcPr>
            <w:tcW w:w="628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pacing w:before="0" w:after="0"/>
              <w:rPr>
                <w:szCs w:val="26"/>
              </w:rPr>
            </w:pPr>
            <w:r>
              <w:rPr>
                <w:szCs w:val="26"/>
              </w:rPr>
              <w:t>Вид строительства</w:t>
            </w:r>
          </w:p>
        </w:tc>
        <w:tc>
          <w:tcPr>
            <w:tcW w:w="377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pacing w:before="0" w:after="0"/>
              <w:rPr>
                <w:szCs w:val="26"/>
              </w:rPr>
            </w:pPr>
            <w:r>
              <w:rPr>
                <w:szCs w:val="26"/>
              </w:rPr>
              <w:t>Новое строительство</w:t>
            </w:r>
          </w:p>
        </w:tc>
      </w:tr>
    </w:tbl>
    <w:p>
      <w:pPr>
        <w:pStyle w:val="Normal"/>
        <w:widowControl w:val="false"/>
        <w:spacing w:before="0" w:after="0"/>
        <w:ind w:firstLine="709"/>
        <w:contextualSpacing/>
        <w:rPr>
          <w:szCs w:val="26"/>
        </w:rPr>
      </w:pPr>
      <w:r>
        <w:rPr>
          <w:szCs w:val="26"/>
        </w:rPr>
      </w:r>
    </w:p>
    <w:p>
      <w:pPr>
        <w:pStyle w:val="Normal"/>
        <w:widowControl w:val="false"/>
        <w:spacing w:before="0" w:after="0"/>
        <w:ind w:firstLine="709"/>
        <w:contextualSpacing/>
        <w:rPr>
          <w:szCs w:val="26"/>
        </w:rPr>
      </w:pPr>
      <w:r>
        <w:rPr>
          <w:color w:val="000000" w:themeColor="text1"/>
          <w:szCs w:val="26"/>
        </w:rPr>
        <w:t>Провести предпроектное инструментальное обследование и оценить состояние опоры №16.</w:t>
      </w:r>
    </w:p>
    <w:p>
      <w:pPr>
        <w:pStyle w:val="Normal"/>
        <w:widowControl w:val="false"/>
        <w:spacing w:before="0" w:after="0"/>
        <w:ind w:firstLine="709"/>
        <w:contextualSpacing/>
        <w:rPr>
          <w:color w:val="000000" w:themeColor="text1"/>
          <w:szCs w:val="26"/>
        </w:rPr>
      </w:pPr>
      <w:r>
        <w:rPr>
          <w:color w:val="000000" w:themeColor="text1"/>
          <w:szCs w:val="26"/>
        </w:rPr>
        <w:t>Запроектировать монтаж на конечной опоре линейного разъединителя 6 кВ на 250 А</w:t>
      </w:r>
    </w:p>
    <w:p>
      <w:pPr>
        <w:pStyle w:val="Normal"/>
        <w:widowControl w:val="false"/>
        <w:spacing w:before="0" w:after="0"/>
        <w:ind w:firstLine="709"/>
        <w:contextualSpacing/>
        <w:rPr>
          <w:color w:val="000000" w:themeColor="text1"/>
          <w:szCs w:val="26"/>
        </w:rPr>
      </w:pPr>
      <w:r>
        <w:rPr>
          <w:color w:val="000000" w:themeColor="text1"/>
          <w:szCs w:val="26"/>
        </w:rPr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284" w:leader="none"/>
          <w:tab w:val="left" w:pos="567" w:leader="none"/>
          <w:tab w:val="left" w:pos="709" w:leader="none"/>
          <w:tab w:val="left" w:pos="5103" w:leader="none"/>
          <w:tab w:val="left" w:pos="7230" w:leader="none"/>
        </w:tabs>
        <w:spacing w:before="0" w:after="0"/>
        <w:rPr>
          <w:b/>
          <w:szCs w:val="26"/>
        </w:rPr>
      </w:pPr>
      <w:r>
        <w:rPr>
          <w:b/>
          <w:szCs w:val="26"/>
        </w:rPr>
      </w:r>
    </w:p>
    <w:p>
      <w:pPr>
        <w:pStyle w:val="Normal"/>
        <w:spacing w:before="0" w:after="0"/>
        <w:jc w:val="left"/>
        <w:rPr>
          <w:b/>
          <w:szCs w:val="26"/>
        </w:rPr>
      </w:pPr>
      <w:r>
        <w:rPr>
          <w:b/>
          <w:szCs w:val="26"/>
        </w:rPr>
      </w:r>
      <w:r>
        <w:br w:type="page"/>
      </w:r>
    </w:p>
    <w:p>
      <w:pPr>
        <w:pStyle w:val="Normal"/>
        <w:widowControl w:val="false"/>
        <w:tabs>
          <w:tab w:val="clear" w:pos="708"/>
          <w:tab w:val="left" w:pos="0" w:leader="none"/>
        </w:tabs>
        <w:spacing w:before="0" w:after="0"/>
        <w:ind w:firstLine="737"/>
        <w:contextualSpacing/>
        <w:rPr>
          <w:b/>
          <w:bCs/>
          <w:color w:val="000000" w:themeColor="text1"/>
          <w:szCs w:val="26"/>
        </w:rPr>
      </w:pPr>
      <w:r>
        <w:rPr>
          <w:b/>
          <w:bCs/>
          <w:color w:val="000000" w:themeColor="text1"/>
          <w:szCs w:val="26"/>
        </w:rPr>
        <w:t>3.2. ПС 110/35/6 кВ «Южная»</w:t>
      </w:r>
    </w:p>
    <w:tbl>
      <w:tblPr>
        <w:tblW w:w="10011" w:type="dxa"/>
        <w:jc w:val="center"/>
        <w:tblInd w:w="0" w:type="dxa"/>
        <w:tblLayout w:type="fixed"/>
        <w:tblCellMar>
          <w:top w:w="0" w:type="dxa"/>
          <w:left w:w="103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4191"/>
        <w:gridCol w:w="5819"/>
      </w:tblGrid>
      <w:tr>
        <w:trPr>
          <w:trHeight w:val="391" w:hRule="atLeast"/>
        </w:trPr>
        <w:tc>
          <w:tcPr>
            <w:tcW w:w="41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Standard"/>
              <w:widowControl w:val="false"/>
              <w:spacing w:before="60" w:after="0"/>
              <w:ind w:firstLine="36"/>
              <w:jc w:val="center"/>
              <w:rPr>
                <w:b/>
                <w:color w:val="000000"/>
                <w:szCs w:val="26"/>
                <w:lang w:eastAsia="en-US"/>
              </w:rPr>
            </w:pPr>
            <w:r>
              <w:rPr>
                <w:b/>
                <w:color w:val="000000"/>
                <w:szCs w:val="26"/>
                <w:lang w:eastAsia="en-US"/>
              </w:rPr>
              <w:t>Показатель</w:t>
            </w:r>
          </w:p>
        </w:tc>
        <w:tc>
          <w:tcPr>
            <w:tcW w:w="5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Standard"/>
              <w:widowControl w:val="false"/>
              <w:spacing w:before="60" w:after="0"/>
              <w:ind w:firstLine="31"/>
              <w:jc w:val="center"/>
              <w:rPr>
                <w:b/>
                <w:color w:val="000000"/>
                <w:szCs w:val="26"/>
                <w:lang w:eastAsia="en-US"/>
              </w:rPr>
            </w:pPr>
            <w:r>
              <w:rPr>
                <w:b/>
                <w:color w:val="000000"/>
                <w:szCs w:val="26"/>
                <w:lang w:eastAsia="en-US"/>
              </w:rPr>
              <w:t>Значение</w:t>
            </w:r>
          </w:p>
        </w:tc>
      </w:tr>
      <w:tr>
        <w:trPr>
          <w:trHeight w:val="394" w:hRule="atLeast"/>
        </w:trPr>
        <w:tc>
          <w:tcPr>
            <w:tcW w:w="41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Standard"/>
              <w:widowControl w:val="false"/>
              <w:spacing w:before="60" w:after="0"/>
              <w:ind w:firstLine="36"/>
              <w:rPr>
                <w:color w:val="000000"/>
                <w:szCs w:val="26"/>
                <w:lang w:eastAsia="en-US"/>
              </w:rPr>
            </w:pPr>
            <w:r>
              <w:rPr>
                <w:color w:val="000000"/>
                <w:szCs w:val="26"/>
                <w:lang w:eastAsia="en-US"/>
              </w:rPr>
              <w:t>Номинальное напряжение</w:t>
            </w:r>
          </w:p>
        </w:tc>
        <w:tc>
          <w:tcPr>
            <w:tcW w:w="5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Standard"/>
              <w:widowControl w:val="false"/>
              <w:spacing w:before="60" w:after="0"/>
              <w:ind w:firstLine="31"/>
              <w:rPr>
                <w:color w:val="000000"/>
                <w:szCs w:val="26"/>
                <w:lang w:eastAsia="en-US"/>
              </w:rPr>
            </w:pPr>
            <w:r>
              <w:rPr>
                <w:color w:val="000000"/>
                <w:szCs w:val="26"/>
                <w:lang w:eastAsia="en-US"/>
              </w:rPr>
              <w:t>110/35/6 кВ</w:t>
            </w:r>
          </w:p>
        </w:tc>
      </w:tr>
      <w:tr>
        <w:trPr>
          <w:trHeight w:val="718" w:hRule="atLeast"/>
        </w:trPr>
        <w:tc>
          <w:tcPr>
            <w:tcW w:w="41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Standard"/>
              <w:widowControl w:val="false"/>
              <w:spacing w:before="60" w:after="0"/>
              <w:ind w:firstLine="36"/>
              <w:rPr>
                <w:color w:val="000000"/>
                <w:szCs w:val="26"/>
                <w:lang w:eastAsia="en-US"/>
              </w:rPr>
            </w:pPr>
            <w:r>
              <w:rPr>
                <w:color w:val="000000"/>
                <w:szCs w:val="26"/>
                <w:lang w:eastAsia="en-US"/>
              </w:rPr>
              <w:t>РУ 6 кВ</w:t>
            </w:r>
          </w:p>
        </w:tc>
        <w:tc>
          <w:tcPr>
            <w:tcW w:w="5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Standard"/>
              <w:widowControl w:val="false"/>
              <w:spacing w:before="60" w:after="0"/>
              <w:ind w:firstLine="31"/>
              <w:rPr>
                <w:color w:val="000000"/>
                <w:szCs w:val="26"/>
                <w:lang w:eastAsia="en-US"/>
              </w:rPr>
            </w:pPr>
            <w:r>
              <w:rPr>
                <w:color w:val="000000"/>
                <w:szCs w:val="26"/>
                <w:lang w:eastAsia="en-US"/>
              </w:rPr>
              <w:t>Запроектировать замену в линейной ячейке 6 кВ №11:</w:t>
            </w:r>
          </w:p>
          <w:p>
            <w:pPr>
              <w:pStyle w:val="Standard"/>
              <w:widowControl w:val="false"/>
              <w:ind w:firstLine="31"/>
              <w:rPr>
                <w:color w:val="000000"/>
                <w:szCs w:val="26"/>
                <w:lang w:eastAsia="en-US"/>
              </w:rPr>
            </w:pPr>
            <w:r>
              <w:rPr>
                <w:color w:val="000000"/>
                <w:szCs w:val="26"/>
                <w:lang w:eastAsia="en-US"/>
              </w:rPr>
              <w:t>- трансформаторов тока (далее по тексту – ТТ) на трансформаторы тока с расчетным коэффициентом трансформации, соответствующим заявленной мощности. Класс точности вторичной обмотки ТТ для учета и измерений принять не ниже 0,5, для устройств РЗА 10 р (тип и параметры уточнить проектом)</w:t>
            </w:r>
          </w:p>
          <w:p>
            <w:pPr>
              <w:pStyle w:val="Standard"/>
              <w:widowControl w:val="false"/>
              <w:ind w:firstLine="31"/>
              <w:rPr>
                <w:color w:val="000000"/>
                <w:szCs w:val="26"/>
                <w:lang w:eastAsia="en-US"/>
              </w:rPr>
            </w:pPr>
            <w:r>
              <w:rPr>
                <w:color w:val="000000"/>
                <w:szCs w:val="26"/>
                <w:lang w:eastAsia="en-US"/>
              </w:rPr>
              <w:t>- выключателя 6 кВ ВВТЭ-М-10-20/630 У2 на выключатель ВВР-10-20/1000 А УХЛ (технические характеристики определить проектом)</w:t>
            </w:r>
          </w:p>
        </w:tc>
      </w:tr>
      <w:tr>
        <w:trPr>
          <w:trHeight w:val="715" w:hRule="atLeast"/>
        </w:trPr>
        <w:tc>
          <w:tcPr>
            <w:tcW w:w="4191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vAlign w:val="center"/>
          </w:tcPr>
          <w:p>
            <w:pPr>
              <w:pStyle w:val="Standard"/>
              <w:widowControl w:val="false"/>
              <w:spacing w:before="60" w:after="0"/>
              <w:ind w:firstLine="36"/>
              <w:rPr>
                <w:color w:val="000000"/>
                <w:szCs w:val="26"/>
                <w:lang w:eastAsia="en-US"/>
              </w:rPr>
            </w:pPr>
            <w:r>
              <w:rPr>
                <w:color w:val="000000"/>
                <w:szCs w:val="26"/>
                <w:lang w:eastAsia="en-US"/>
              </w:rPr>
              <w:t>Тип и количество линейных выключателей 35 кВ</w:t>
            </w:r>
          </w:p>
        </w:tc>
        <w:tc>
          <w:tcPr>
            <w:tcW w:w="5819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vAlign w:val="center"/>
          </w:tcPr>
          <w:p>
            <w:pPr>
              <w:pStyle w:val="Standard"/>
              <w:widowControl w:val="false"/>
              <w:spacing w:before="60" w:after="0"/>
              <w:ind w:firstLine="31"/>
              <w:rPr>
                <w:color w:val="000000"/>
                <w:szCs w:val="26"/>
                <w:lang w:eastAsia="en-US"/>
              </w:rPr>
            </w:pPr>
            <w:r>
              <w:rPr>
                <w:color w:val="000000"/>
                <w:szCs w:val="26"/>
                <w:lang w:eastAsia="en-US"/>
              </w:rPr>
              <w:t>Проектом предусмотреть РУ 35 кВ, включая установку коммутационных аппаратов (выключателя 35 кВ, разъединители 35 кВ, трансформаторов тока 35 кВ и трансформаторов напряжения 35 кВ — ТТ и ТН для организации ДЗТ со всех 3-х сторон трансформатора и организации ЗЗ для ЛЭП 35 кВ)</w:t>
            </w:r>
          </w:p>
        </w:tc>
      </w:tr>
      <w:tr>
        <w:trPr>
          <w:trHeight w:val="742" w:hRule="atLeast"/>
        </w:trPr>
        <w:tc>
          <w:tcPr>
            <w:tcW w:w="4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spacing w:before="60" w:after="0"/>
              <w:ind w:firstLine="36"/>
              <w:rPr>
                <w:color w:val="000000"/>
                <w:szCs w:val="26"/>
                <w:lang w:eastAsia="en-US"/>
              </w:rPr>
            </w:pPr>
            <w:r>
              <w:rPr>
                <w:color w:val="000000"/>
                <w:szCs w:val="26"/>
                <w:lang w:eastAsia="en-US"/>
              </w:rPr>
              <w:t>Прочие требования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spacing w:before="60" w:after="0"/>
              <w:ind w:firstLine="31"/>
              <w:rPr>
                <w:color w:val="000000"/>
                <w:szCs w:val="26"/>
                <w:lang w:eastAsia="en-US"/>
              </w:rPr>
            </w:pPr>
            <w:r>
              <w:rPr>
                <w:color w:val="000000"/>
                <w:szCs w:val="26"/>
                <w:lang w:eastAsia="en-US"/>
              </w:rPr>
              <w:t>- В линейной ячейке 6 кВ № 11 ПС 110/35/6 кВ Южная предусмотреть установку устройств релейной защиты и противоаварийной автоматики (АЧР, ЧАПВ) на базе микропроцессорных терминалов.</w:t>
            </w:r>
          </w:p>
          <w:p>
            <w:pPr>
              <w:pStyle w:val="Standard"/>
              <w:widowControl w:val="false"/>
              <w:ind w:firstLine="31"/>
              <w:rPr>
                <w:color w:val="000000"/>
                <w:szCs w:val="26"/>
                <w:lang w:eastAsia="en-US"/>
              </w:rPr>
            </w:pPr>
            <w:r>
              <w:rPr>
                <w:color w:val="000000"/>
                <w:szCs w:val="26"/>
                <w:lang w:eastAsia="en-US"/>
              </w:rPr>
              <w:t>- Устройства РЗА должны обеспечивать свою работу при частоте 45,0 – 55,0 Гц.</w:t>
            </w:r>
          </w:p>
          <w:p>
            <w:pPr>
              <w:pStyle w:val="Standard"/>
              <w:widowControl w:val="false"/>
              <w:ind w:firstLine="31"/>
              <w:rPr>
                <w:color w:val="000000"/>
                <w:szCs w:val="26"/>
                <w:lang w:eastAsia="en-US"/>
              </w:rPr>
            </w:pPr>
            <w:r>
              <w:rPr>
                <w:color w:val="000000"/>
                <w:szCs w:val="26"/>
                <w:lang w:eastAsia="en-US"/>
              </w:rPr>
              <w:t>- Предусмотреть, подключение нагрузки Заявителя под действие устройств противоаварийной автоматики (АЧР, ЧАПВ).</w:t>
            </w:r>
          </w:p>
          <w:p>
            <w:pPr>
              <w:pStyle w:val="Standard"/>
              <w:widowControl w:val="false"/>
              <w:ind w:firstLine="31"/>
              <w:rPr>
                <w:color w:val="000000"/>
                <w:szCs w:val="26"/>
                <w:lang w:eastAsia="en-US"/>
              </w:rPr>
            </w:pPr>
            <w:r>
              <w:rPr>
                <w:color w:val="000000"/>
                <w:szCs w:val="26"/>
                <w:lang w:eastAsia="en-US"/>
              </w:rPr>
              <w:t>- Оснастить ТП 6/0,4 кВ устройствами защиты от перенапряжений и токов короткого замыкания.</w:t>
            </w:r>
          </w:p>
          <w:p>
            <w:pPr>
              <w:pStyle w:val="Standard"/>
              <w:widowControl w:val="false"/>
              <w:ind w:firstLine="31"/>
              <w:rPr>
                <w:color w:val="000000"/>
                <w:szCs w:val="26"/>
                <w:lang w:eastAsia="en-US"/>
              </w:rPr>
            </w:pPr>
            <w:r>
              <w:rPr>
                <w:color w:val="000000"/>
                <w:szCs w:val="26"/>
                <w:lang w:eastAsia="en-US"/>
              </w:rPr>
              <w:t>- Выполнить учёт электроэнергии в соответствии с Типовой инструкцией по учёту электроэнергии при её производстве, передаче и распределении (СО 153-34.09.101-94), требованиями правил организации учёта электрической энергии на розничном рынке, установленных Федеральным законом от 26.03.2003 № 35-ФЗ «Об электроэнергетике», Основными положениями функционирования розничных рынков электрической энергии, утверждёнными Постановлением Правительства РФ от 04.05.2012 № 442.</w:t>
            </w:r>
          </w:p>
          <w:p>
            <w:pPr>
              <w:pStyle w:val="Standard"/>
              <w:widowControl w:val="false"/>
              <w:ind w:firstLine="31"/>
              <w:rPr>
                <w:color w:val="000000"/>
                <w:szCs w:val="26"/>
                <w:lang w:eastAsia="en-US"/>
              </w:rPr>
            </w:pPr>
            <w:r>
              <w:rPr>
                <w:color w:val="000000"/>
                <w:szCs w:val="26"/>
                <w:lang w:eastAsia="en-US"/>
              </w:rPr>
              <w:t>- В случае установки на территории заявителя автономных источников питания, для данных источников питания предусмотреть установку автоматической и (или) ручной блокировки, препятствующих подаче напряжения от автономных источников питания в электрическую сеть АО «ДРСК».</w:t>
            </w:r>
          </w:p>
        </w:tc>
      </w:tr>
      <w:tr>
        <w:trPr>
          <w:trHeight w:val="742" w:hRule="atLeast"/>
        </w:trPr>
        <w:tc>
          <w:tcPr>
            <w:tcW w:w="4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spacing w:before="0" w:after="0"/>
              <w:rPr>
                <w:szCs w:val="26"/>
              </w:rPr>
            </w:pPr>
            <w:r>
              <w:rPr>
                <w:szCs w:val="26"/>
              </w:rPr>
              <w:t>Вид строительства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spacing w:before="0" w:after="0"/>
              <w:rPr>
                <w:szCs w:val="26"/>
              </w:rPr>
            </w:pPr>
            <w:r>
              <w:rPr>
                <w:szCs w:val="26"/>
              </w:rPr>
              <w:t>Реконструкция</w:t>
            </w:r>
          </w:p>
        </w:tc>
      </w:tr>
    </w:tbl>
    <w:p>
      <w:pPr>
        <w:pStyle w:val="Normal"/>
        <w:widowControl w:val="false"/>
        <w:spacing w:before="0" w:after="0"/>
        <w:ind w:firstLine="709"/>
        <w:contextualSpacing/>
        <w:rPr>
          <w:szCs w:val="26"/>
        </w:rPr>
      </w:pPr>
      <w:r>
        <w:rPr>
          <w:szCs w:val="26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8"/>
          <w:tab w:val="left" w:pos="284" w:leader="none"/>
          <w:tab w:val="left" w:pos="567" w:leader="none"/>
        </w:tabs>
        <w:spacing w:before="0" w:after="0"/>
        <w:ind w:left="0" w:firstLine="709"/>
        <w:contextualSpacing/>
        <w:rPr>
          <w:b/>
          <w:color w:val="000000" w:themeColor="text1"/>
          <w:szCs w:val="26"/>
        </w:rPr>
      </w:pPr>
      <w:r>
        <w:rPr>
          <w:b/>
          <w:color w:val="000000" w:themeColor="text1"/>
          <w:szCs w:val="26"/>
        </w:rPr>
        <w:t>В</w:t>
      </w:r>
      <w:r>
        <w:rPr>
          <w:b/>
          <w:szCs w:val="26"/>
        </w:rPr>
        <w:t>ид строительства и этапы разработки проектной документации</w:t>
      </w:r>
      <w:r>
        <w:rPr>
          <w:b/>
          <w:color w:val="000000" w:themeColor="text1"/>
          <w:szCs w:val="26"/>
        </w:rPr>
        <w:t>:</w:t>
      </w:r>
    </w:p>
    <w:p>
      <w:pPr>
        <w:pStyle w:val="ListParagraph"/>
        <w:widowControl w:val="false"/>
        <w:tabs>
          <w:tab w:val="clear" w:pos="708"/>
          <w:tab w:val="left" w:pos="284" w:leader="none"/>
          <w:tab w:val="left" w:pos="567" w:leader="none"/>
        </w:tabs>
        <w:spacing w:before="0" w:after="0"/>
        <w:ind w:left="0" w:firstLine="709"/>
        <w:contextualSpacing/>
        <w:rPr>
          <w:b/>
          <w:color w:val="000000" w:themeColor="text1"/>
          <w:szCs w:val="26"/>
        </w:rPr>
      </w:pPr>
      <w:r>
        <w:rPr>
          <w:b/>
          <w:color w:val="000000" w:themeColor="text1"/>
          <w:szCs w:val="26"/>
        </w:rPr>
      </w:r>
    </w:p>
    <w:p>
      <w:pPr>
        <w:pStyle w:val="ListParagraph"/>
        <w:widowControl w:val="false"/>
        <w:numPr>
          <w:ilvl w:val="1"/>
          <w:numId w:val="4"/>
        </w:numPr>
        <w:tabs>
          <w:tab w:val="clear" w:pos="708"/>
          <w:tab w:val="left" w:pos="284" w:leader="none"/>
          <w:tab w:val="left" w:pos="567" w:leader="none"/>
          <w:tab w:val="left" w:pos="993" w:leader="none"/>
          <w:tab w:val="left" w:pos="1134" w:leader="none"/>
        </w:tabs>
        <w:spacing w:before="0" w:after="0"/>
        <w:ind w:left="0" w:firstLine="709"/>
        <w:contextualSpacing/>
        <w:rPr>
          <w:b/>
          <w:color w:val="000000" w:themeColor="text1"/>
          <w:szCs w:val="26"/>
        </w:rPr>
      </w:pPr>
      <w:r>
        <w:rPr>
          <w:color w:val="000000" w:themeColor="text1"/>
          <w:szCs w:val="26"/>
        </w:rPr>
        <w:t xml:space="preserve">Вид строительства: </w:t>
      </w:r>
      <w:r>
        <w:rPr>
          <w:i/>
          <w:color w:val="000000" w:themeColor="text1"/>
          <w:szCs w:val="26"/>
        </w:rPr>
        <w:t>реконструкция/новое строительство</w:t>
      </w:r>
      <w:r>
        <w:rPr>
          <w:color w:val="000000" w:themeColor="text1"/>
          <w:szCs w:val="26"/>
        </w:rPr>
        <w:t>.</w:t>
      </w:r>
    </w:p>
    <w:p>
      <w:pPr>
        <w:pStyle w:val="ListParagraph"/>
        <w:widowControl w:val="false"/>
        <w:numPr>
          <w:ilvl w:val="1"/>
          <w:numId w:val="4"/>
        </w:numPr>
        <w:tabs>
          <w:tab w:val="clear" w:pos="708"/>
          <w:tab w:val="left" w:pos="284" w:leader="none"/>
          <w:tab w:val="left" w:pos="567" w:leader="none"/>
          <w:tab w:val="left" w:pos="993" w:leader="none"/>
          <w:tab w:val="left" w:pos="1134" w:leader="none"/>
        </w:tabs>
        <w:spacing w:before="0" w:after="0"/>
        <w:ind w:left="0" w:firstLine="709"/>
        <w:contextualSpacing/>
        <w:rPr>
          <w:b/>
          <w:color w:val="000000" w:themeColor="text1"/>
          <w:szCs w:val="26"/>
        </w:rPr>
      </w:pPr>
      <w:r>
        <w:rPr>
          <w:szCs w:val="26"/>
        </w:rPr>
        <w:t>Этапы разработки проекта:</w:t>
      </w:r>
    </w:p>
    <w:p>
      <w:pPr>
        <w:pStyle w:val="Normal"/>
        <w:widowControl w:val="false"/>
        <w:tabs>
          <w:tab w:val="clear" w:pos="708"/>
          <w:tab w:val="left" w:pos="284" w:leader="none"/>
          <w:tab w:val="left" w:pos="567" w:leader="none"/>
          <w:tab w:val="left" w:pos="993" w:leader="none"/>
          <w:tab w:val="left" w:pos="1134" w:leader="none"/>
        </w:tabs>
        <w:spacing w:before="0" w:after="0"/>
        <w:ind w:firstLine="709"/>
        <w:contextualSpacing/>
        <w:rPr>
          <w:szCs w:val="26"/>
        </w:rPr>
      </w:pPr>
      <w:r>
        <w:rPr>
          <w:b/>
          <w:i/>
          <w:szCs w:val="26"/>
        </w:rPr>
        <w:t>I-й этап: Предпроектное обследование.</w:t>
      </w:r>
      <w:r>
        <w:rPr>
          <w:b/>
          <w:i/>
          <w:color w:val="000000" w:themeColor="text1"/>
          <w:szCs w:val="26"/>
        </w:rPr>
        <w:t xml:space="preserve"> Инженерные изыскания. Работы по оформлению правоустанавливающих, исходно-разрешительных документов на использование земельных участков.</w:t>
      </w:r>
    </w:p>
    <w:p>
      <w:pPr>
        <w:pStyle w:val="ListParagraph"/>
        <w:widowControl w:val="false"/>
        <w:tabs>
          <w:tab w:val="clear" w:pos="708"/>
          <w:tab w:val="left" w:pos="284" w:leader="none"/>
          <w:tab w:val="left" w:pos="567" w:leader="none"/>
          <w:tab w:val="left" w:pos="993" w:leader="none"/>
          <w:tab w:val="left" w:pos="1134" w:leader="none"/>
        </w:tabs>
        <w:spacing w:before="0" w:after="0"/>
        <w:ind w:left="0" w:firstLine="709"/>
        <w:contextualSpacing/>
        <w:rPr>
          <w:b/>
          <w:i/>
          <w:i/>
          <w:color w:val="000000" w:themeColor="text1"/>
          <w:szCs w:val="26"/>
        </w:rPr>
      </w:pPr>
      <w:r>
        <w:rPr>
          <w:b/>
          <w:i/>
          <w:color w:val="000000" w:themeColor="text1"/>
          <w:szCs w:val="26"/>
        </w:rPr>
      </w:r>
    </w:p>
    <w:p>
      <w:pPr>
        <w:pStyle w:val="Standard"/>
        <w:widowControl w:val="false"/>
        <w:numPr>
          <w:ilvl w:val="2"/>
          <w:numId w:val="8"/>
        </w:numPr>
        <w:tabs>
          <w:tab w:val="clear" w:pos="708"/>
          <w:tab w:val="left" w:pos="567" w:leader="none"/>
        </w:tabs>
        <w:spacing w:before="0" w:after="0"/>
        <w:ind w:left="0" w:firstLine="709"/>
        <w:rPr>
          <w:b/>
          <w:bCs/>
          <w:i/>
          <w:i/>
          <w:iCs/>
          <w:szCs w:val="26"/>
        </w:rPr>
      </w:pPr>
      <w:r>
        <w:rPr>
          <w:b/>
          <w:bCs/>
          <w:i/>
          <w:iCs/>
          <w:szCs w:val="26"/>
          <w:shd w:fill="FFFFFF" w:val="clear"/>
        </w:rPr>
        <w:t>Предпроектное работы.</w:t>
      </w:r>
    </w:p>
    <w:p>
      <w:pPr>
        <w:pStyle w:val="Normal"/>
        <w:numPr>
          <w:ilvl w:val="3"/>
          <w:numId w:val="8"/>
        </w:numPr>
        <w:tabs>
          <w:tab w:val="clear" w:pos="708"/>
          <w:tab w:val="left" w:pos="567" w:leader="none"/>
        </w:tabs>
        <w:ind w:left="0" w:firstLine="709"/>
        <w:rPr>
          <w:color w:val="000000"/>
          <w:szCs w:val="26"/>
        </w:rPr>
      </w:pPr>
      <w:r>
        <w:rPr>
          <w:color w:val="000000"/>
          <w:szCs w:val="26"/>
        </w:rPr>
        <w:t>Обследование предполагаемой трассы ЛЭП 6 кВ, ПС 110/35/6 кВ Южная.</w:t>
      </w:r>
    </w:p>
    <w:p>
      <w:pPr>
        <w:pStyle w:val="Normal"/>
        <w:tabs>
          <w:tab w:val="clear" w:pos="708"/>
          <w:tab w:val="left" w:pos="567" w:leader="none"/>
        </w:tabs>
        <w:ind w:firstLine="709"/>
        <w:rPr>
          <w:szCs w:val="26"/>
        </w:rPr>
      </w:pPr>
      <w:r>
        <w:rPr>
          <w:szCs w:val="26"/>
        </w:rPr>
        <w:t>Предпроектное обследование ЛЭП проводится проектной организацией самостоятельно, ПС Южная в присутствии представителей Заказчика, с выездом специалистов на объект. Заказчик обеспечивает доступ на объект и оказывает необходимое содействие в сборе исходных данных. Результаты предпроектного обследования согласовать с Заказчиком</w:t>
      </w:r>
    </w:p>
    <w:p>
      <w:pPr>
        <w:pStyle w:val="Normal"/>
        <w:numPr>
          <w:ilvl w:val="3"/>
          <w:numId w:val="8"/>
        </w:numPr>
        <w:tabs>
          <w:tab w:val="clear" w:pos="708"/>
          <w:tab w:val="left" w:pos="567" w:leader="none"/>
        </w:tabs>
        <w:ind w:left="0" w:firstLine="709"/>
        <w:rPr>
          <w:color w:val="000000"/>
          <w:szCs w:val="26"/>
        </w:rPr>
      </w:pPr>
      <w:r>
        <w:rPr>
          <w:color w:val="000000"/>
          <w:szCs w:val="26"/>
        </w:rPr>
        <w:t>Выполнить расчет площади земельных участков для размещения Объекта проектирования, с учетом следующих требований:</w:t>
      </w:r>
    </w:p>
    <w:p>
      <w:pPr>
        <w:pStyle w:val="ListParagraph"/>
        <w:tabs>
          <w:tab w:val="clear" w:pos="708"/>
          <w:tab w:val="left" w:pos="567" w:leader="none"/>
        </w:tabs>
        <w:spacing w:before="60" w:after="0"/>
        <w:ind w:left="0" w:firstLine="709"/>
        <w:contextualSpacing/>
        <w:rPr>
          <w:color w:val="000000"/>
          <w:szCs w:val="26"/>
        </w:rPr>
      </w:pPr>
      <w:r>
        <w:rPr>
          <w:color w:val="000000"/>
          <w:szCs w:val="26"/>
        </w:rPr>
        <w:t>- ширина полосы отвода должна соответствовать нормам отвода земель. В расчете площади земельных участков для размещения ЛЭП указать ширину полосы отвода для земельных участков, покрытых и непокрытых лесными насаждениями.</w:t>
      </w:r>
    </w:p>
    <w:p>
      <w:pPr>
        <w:pStyle w:val="ListParagraph"/>
        <w:tabs>
          <w:tab w:val="clear" w:pos="708"/>
          <w:tab w:val="left" w:pos="567" w:leader="none"/>
        </w:tabs>
        <w:spacing w:before="60" w:after="0"/>
        <w:ind w:left="0" w:firstLine="709"/>
        <w:contextualSpacing/>
        <w:rPr>
          <w:color w:val="000000"/>
          <w:szCs w:val="26"/>
        </w:rPr>
      </w:pPr>
      <w:r>
        <w:rPr>
          <w:color w:val="000000"/>
          <w:szCs w:val="26"/>
        </w:rPr>
        <w:t>- при реконструкции Объектов, размещении временных строений и сооружений преимущественно используется существующую охранную зону и незалесенные участки;</w:t>
      </w:r>
    </w:p>
    <w:p>
      <w:pPr>
        <w:pStyle w:val="Normal"/>
        <w:tabs>
          <w:tab w:val="clear" w:pos="708"/>
          <w:tab w:val="left" w:pos="567" w:leader="none"/>
        </w:tabs>
        <w:ind w:firstLine="709"/>
        <w:rPr>
          <w:color w:val="000000"/>
          <w:szCs w:val="26"/>
        </w:rPr>
      </w:pPr>
      <w:r>
        <w:rPr>
          <w:color w:val="000000"/>
          <w:szCs w:val="26"/>
        </w:rPr>
        <w:t xml:space="preserve">- земельные участки, необходимые для обеспечения деятельности подрядной организации, осуществляющей строительные работы (временные сооружения, включая временный поселок строителя и т.д.), в землеотвод для размещения Объекта не включаются. </w:t>
      </w:r>
    </w:p>
    <w:p>
      <w:pPr>
        <w:pStyle w:val="Normal"/>
        <w:numPr>
          <w:ilvl w:val="3"/>
          <w:numId w:val="8"/>
        </w:numPr>
        <w:tabs>
          <w:tab w:val="clear" w:pos="708"/>
          <w:tab w:val="left" w:pos="567" w:leader="none"/>
        </w:tabs>
        <w:ind w:left="0" w:firstLine="709"/>
        <w:rPr>
          <w:color w:val="000000"/>
          <w:szCs w:val="26"/>
        </w:rPr>
      </w:pPr>
      <w:r>
        <w:rPr>
          <w:color w:val="000000"/>
          <w:szCs w:val="26"/>
        </w:rPr>
        <w:t xml:space="preserve">Отчет с результатами предпроектного обследования оформить отдельным томом. </w:t>
      </w:r>
    </w:p>
    <w:p>
      <w:pPr>
        <w:pStyle w:val="Standard"/>
        <w:widowControl w:val="false"/>
        <w:numPr>
          <w:ilvl w:val="2"/>
          <w:numId w:val="8"/>
        </w:numPr>
        <w:tabs>
          <w:tab w:val="clear" w:pos="708"/>
          <w:tab w:val="left" w:pos="567" w:leader="none"/>
        </w:tabs>
        <w:spacing w:before="0" w:after="0"/>
        <w:ind w:left="0" w:firstLine="709"/>
        <w:rPr>
          <w:i/>
          <w:i/>
          <w:iCs/>
          <w:szCs w:val="26"/>
        </w:rPr>
      </w:pPr>
      <w:r>
        <w:rPr>
          <w:b/>
          <w:i/>
          <w:iCs/>
          <w:color w:val="000000" w:themeColor="text1"/>
          <w:szCs w:val="26"/>
          <w:shd w:fill="FFFFFF" w:val="clear"/>
        </w:rPr>
        <w:t xml:space="preserve">Инженерные изыскания </w:t>
      </w:r>
    </w:p>
    <w:p>
      <w:pPr>
        <w:pStyle w:val="Standard"/>
        <w:widowControl w:val="false"/>
        <w:numPr>
          <w:ilvl w:val="3"/>
          <w:numId w:val="8"/>
        </w:numPr>
        <w:tabs>
          <w:tab w:val="clear" w:pos="708"/>
          <w:tab w:val="left" w:pos="567" w:leader="none"/>
        </w:tabs>
        <w:spacing w:before="0" w:after="0"/>
        <w:ind w:left="0" w:firstLine="709"/>
        <w:rPr>
          <w:szCs w:val="26"/>
          <w:highlight w:val="white"/>
        </w:rPr>
      </w:pPr>
      <w:r>
        <w:rPr>
          <w:szCs w:val="26"/>
          <w:shd w:fill="FFFFFF" w:val="clear"/>
        </w:rPr>
        <w:t>Инженерные изыскания для проектирования объекта следует выполнять в соответствии с требованиями действующих технических регламентов и сводов правил по видам инженерных изысканий:</w:t>
      </w:r>
    </w:p>
    <w:p>
      <w:pPr>
        <w:pStyle w:val="Standard"/>
        <w:widowControl w:val="false"/>
        <w:numPr>
          <w:ilvl w:val="3"/>
          <w:numId w:val="8"/>
        </w:numPr>
        <w:tabs>
          <w:tab w:val="clear" w:pos="708"/>
          <w:tab w:val="left" w:pos="567" w:leader="none"/>
        </w:tabs>
        <w:spacing w:before="0" w:after="0"/>
        <w:ind w:left="0" w:firstLine="709"/>
        <w:rPr>
          <w:szCs w:val="26"/>
          <w:highlight w:val="white"/>
        </w:rPr>
      </w:pPr>
      <w:r>
        <w:rPr>
          <w:szCs w:val="26"/>
          <w:shd w:fill="FFFFFF" w:val="clear"/>
        </w:rPr>
        <w:t>Выполнить комплекс инженерных изысканий необходимых для подготовки проектной документации объектов капитального строительства, в объеме:</w:t>
      </w:r>
    </w:p>
    <w:p>
      <w:pPr>
        <w:pStyle w:val="Normal"/>
        <w:tabs>
          <w:tab w:val="clear" w:pos="708"/>
          <w:tab w:val="left" w:pos="567" w:leader="none"/>
          <w:tab w:val="left" w:pos="1080" w:leader="none"/>
        </w:tabs>
        <w:spacing w:before="0" w:after="0"/>
        <w:ind w:firstLine="709"/>
        <w:rPr>
          <w:szCs w:val="26"/>
          <w:shd w:fill="FFFFFF" w:val="clear"/>
        </w:rPr>
      </w:pPr>
      <w:r>
        <w:rPr>
          <w:color w:val="000000"/>
          <w:szCs w:val="26"/>
          <w:shd w:fill="FFFFFF" w:val="clear"/>
        </w:rPr>
        <w:t>•</w:t>
      </w:r>
      <w:r>
        <w:rPr>
          <w:color w:val="000000"/>
          <w:szCs w:val="26"/>
          <w:shd w:fill="FFFFFF" w:val="clear"/>
        </w:rPr>
        <w:tab/>
        <w:t>инженерно-геодезические изыскания;</w:t>
      </w:r>
    </w:p>
    <w:p>
      <w:pPr>
        <w:pStyle w:val="Normal"/>
        <w:widowControl w:val="false"/>
        <w:numPr>
          <w:ilvl w:val="3"/>
          <w:numId w:val="8"/>
        </w:numPr>
        <w:tabs>
          <w:tab w:val="clear" w:pos="708"/>
          <w:tab w:val="left" w:pos="567" w:leader="none"/>
        </w:tabs>
        <w:spacing w:before="0" w:after="0"/>
        <w:ind w:left="0" w:firstLine="709"/>
        <w:rPr>
          <w:color w:val="000000"/>
          <w:szCs w:val="26"/>
        </w:rPr>
      </w:pPr>
      <w:r>
        <w:rPr>
          <w:color w:val="000000"/>
          <w:szCs w:val="26"/>
          <w:shd w:fill="FFFFFF" w:val="clear"/>
        </w:rPr>
        <w:t>Подготовить программу инженерных изысканий, устанавливающую состав и объем инженерных изысканий и метод их выполнения. Представить Программу инженерных изысканий Заказчику для утверждения в срок не менее чем за 10 рабочих дней, до начала работ по выполнению инженерных изысканий.</w:t>
      </w:r>
    </w:p>
    <w:p>
      <w:pPr>
        <w:pStyle w:val="Normal"/>
        <w:widowControl w:val="false"/>
        <w:numPr>
          <w:ilvl w:val="3"/>
          <w:numId w:val="8"/>
        </w:numPr>
        <w:tabs>
          <w:tab w:val="clear" w:pos="708"/>
          <w:tab w:val="left" w:pos="567" w:leader="none"/>
        </w:tabs>
        <w:spacing w:before="0" w:after="0"/>
        <w:ind w:left="0" w:firstLine="709"/>
        <w:rPr>
          <w:color w:val="000000"/>
          <w:szCs w:val="26"/>
        </w:rPr>
      </w:pPr>
      <w:r>
        <w:rPr>
          <w:color w:val="000000"/>
          <w:szCs w:val="26"/>
          <w:shd w:fill="FFFFFF" w:val="clear"/>
        </w:rPr>
        <w:t>Результаты инженерных изысканий должны отвечать установленным требованиям и оформляться в виде технического отчета в соответствии с техническими регламентами, стандартами и иными требованиями, предусмотренными законодательством Российской Федерации о техническом регулировании.</w:t>
      </w:r>
    </w:p>
    <w:p>
      <w:pPr>
        <w:pStyle w:val="Normal"/>
        <w:widowControl w:val="false"/>
        <w:numPr>
          <w:ilvl w:val="3"/>
          <w:numId w:val="8"/>
        </w:numPr>
        <w:tabs>
          <w:tab w:val="clear" w:pos="708"/>
          <w:tab w:val="left" w:pos="567" w:leader="none"/>
        </w:tabs>
        <w:spacing w:before="0" w:after="0"/>
        <w:ind w:left="0" w:firstLine="709"/>
        <w:rPr>
          <w:color w:val="000000"/>
          <w:szCs w:val="26"/>
        </w:rPr>
      </w:pPr>
      <w:r>
        <w:rPr>
          <w:color w:val="000000"/>
          <w:szCs w:val="26"/>
          <w:shd w:fill="FFFFFF" w:val="clear"/>
        </w:rPr>
        <w:t xml:space="preserve">В рамках данного этапа работ получить согласование от уполномоченного органа по охране объектов культурного наследия о возможности использования земель, подлежащих воздействию земляных, строительных, мелиоративных, хозяйственных работ, организовать работы предусмотренные Федеральным законом от 25.06.2002 N 73-ФЗ (ред. от 26.12.2024) "Об объектах культурного наследия (памятниках истории и культуры) народов Российской Федерации". </w:t>
      </w:r>
    </w:p>
    <w:p>
      <w:pPr>
        <w:pStyle w:val="Normal"/>
        <w:widowControl w:val="false"/>
        <w:numPr>
          <w:ilvl w:val="3"/>
          <w:numId w:val="8"/>
        </w:numPr>
        <w:tabs>
          <w:tab w:val="clear" w:pos="708"/>
          <w:tab w:val="left" w:pos="567" w:leader="none"/>
          <w:tab w:val="left" w:pos="993" w:leader="none"/>
        </w:tabs>
        <w:spacing w:before="0" w:after="0"/>
        <w:ind w:left="0" w:firstLine="709"/>
        <w:rPr>
          <w:szCs w:val="26"/>
        </w:rPr>
      </w:pPr>
      <w:r>
        <w:rPr>
          <w:szCs w:val="26"/>
        </w:rPr>
        <w:t>Выполнение инженерно-геодезических изысканий</w:t>
      </w:r>
    </w:p>
    <w:p>
      <w:pPr>
        <w:pStyle w:val="ListParagraph"/>
        <w:widowControl w:val="false"/>
        <w:tabs>
          <w:tab w:val="clear" w:pos="708"/>
          <w:tab w:val="left" w:pos="284" w:leader="none"/>
          <w:tab w:val="left" w:pos="567" w:leader="none"/>
          <w:tab w:val="left" w:pos="993" w:leader="none"/>
          <w:tab w:val="left" w:pos="1134" w:leader="none"/>
        </w:tabs>
        <w:spacing w:before="0" w:after="0"/>
        <w:ind w:left="0" w:firstLine="709"/>
        <w:contextualSpacing/>
        <w:rPr>
          <w:szCs w:val="26"/>
        </w:rPr>
      </w:pPr>
      <w:r>
        <w:rPr>
          <w:szCs w:val="26"/>
          <w:lang w:bidi="ru-RU"/>
        </w:rPr>
        <w:t>Выполнить Инженерные изыскания,</w:t>
      </w:r>
      <w:r>
        <w:rPr>
          <w:szCs w:val="26"/>
        </w:rPr>
        <w:t xml:space="preserve"> в объеме необходимом для проектирования.</w:t>
      </w:r>
    </w:p>
    <w:p>
      <w:pPr>
        <w:pStyle w:val="Normal"/>
        <w:widowControl w:val="false"/>
        <w:tabs>
          <w:tab w:val="clear" w:pos="708"/>
          <w:tab w:val="left" w:pos="567" w:leader="none"/>
        </w:tabs>
        <w:ind w:firstLine="709"/>
        <w:rPr>
          <w:color w:val="000000"/>
          <w:szCs w:val="26"/>
        </w:rPr>
      </w:pPr>
      <w:r>
        <w:rPr>
          <w:color w:val="000000"/>
          <w:szCs w:val="26"/>
        </w:rPr>
        <w:t xml:space="preserve">Перед началом выполнения работ подготовить и согласовать с Заказчиком задание на проведение инженерно-геодезических </w:t>
      </w:r>
      <w:bookmarkStart w:id="0" w:name="_GoBack"/>
      <w:bookmarkEnd w:id="0"/>
      <w:r>
        <w:rPr>
          <w:color w:val="000000"/>
          <w:szCs w:val="26"/>
        </w:rPr>
        <w:t>изысканий.</w:t>
      </w:r>
    </w:p>
    <w:p>
      <w:pPr>
        <w:pStyle w:val="Normal"/>
        <w:widowControl w:val="false"/>
        <w:tabs>
          <w:tab w:val="clear" w:pos="708"/>
          <w:tab w:val="left" w:pos="567" w:leader="none"/>
          <w:tab w:val="left" w:pos="993" w:leader="none"/>
        </w:tabs>
        <w:spacing w:before="0" w:after="0"/>
        <w:ind w:firstLine="709"/>
        <w:rPr>
          <w:color w:val="000000"/>
          <w:szCs w:val="26"/>
          <w:lang w:eastAsia="zh-CN"/>
        </w:rPr>
      </w:pPr>
      <w:r>
        <w:rPr>
          <w:color w:val="000000"/>
          <w:szCs w:val="26"/>
          <w:lang w:eastAsia="zh-CN"/>
        </w:rPr>
        <w:t>Подготовить программу инженерно-геодезических изысканий, устанавливающую состав и объем инженерных изысканий и метод их выполнения и представить Программу инженерных изысканий Заказчику для утверждения.</w:t>
      </w:r>
    </w:p>
    <w:p>
      <w:pPr>
        <w:pStyle w:val="Normal"/>
        <w:widowControl w:val="false"/>
        <w:tabs>
          <w:tab w:val="clear" w:pos="708"/>
          <w:tab w:val="left" w:pos="567" w:leader="none"/>
          <w:tab w:val="left" w:pos="993" w:leader="none"/>
        </w:tabs>
        <w:spacing w:before="0" w:after="0"/>
        <w:ind w:firstLine="709"/>
        <w:rPr>
          <w:color w:val="000000"/>
          <w:szCs w:val="26"/>
          <w:lang w:eastAsia="zh-CN"/>
        </w:rPr>
      </w:pPr>
      <w:r>
        <w:rPr>
          <w:color w:val="000000"/>
          <w:szCs w:val="26"/>
          <w:lang w:eastAsia="zh-CN"/>
        </w:rPr>
        <w:t>Выполнить инженерно-геодезические изыскания, необходимые для подготовки проектной документации в объеме, необходимом для разработки и обоснования проектных решений, в т.ч создание опорных геодезических сетей, создание и обновление инженерно-топографических планов, трассирование линейных объектов.</w:t>
      </w:r>
    </w:p>
    <w:p>
      <w:pPr>
        <w:pStyle w:val="Normal"/>
        <w:widowControl w:val="false"/>
        <w:tabs>
          <w:tab w:val="clear" w:pos="708"/>
          <w:tab w:val="left" w:pos="567" w:leader="none"/>
          <w:tab w:val="left" w:pos="993" w:leader="none"/>
        </w:tabs>
        <w:spacing w:before="0" w:after="0"/>
        <w:ind w:firstLine="709"/>
        <w:rPr>
          <w:color w:val="000000"/>
          <w:szCs w:val="26"/>
          <w:lang w:eastAsia="zh-CN"/>
        </w:rPr>
      </w:pPr>
      <w:r>
        <w:rPr>
          <w:color w:val="000000"/>
          <w:szCs w:val="26"/>
          <w:lang w:eastAsia="zh-CN"/>
        </w:rPr>
        <w:t xml:space="preserve">Результаты инженерных изысканий оформляются и предоставляются заказчику в виде технического отчета о выполнении инженерных-геодезических изысканий, состоящего из текстовой и графической частей, а также приложений к нему в текстовой, графической, цифровой форме. </w:t>
      </w:r>
    </w:p>
    <w:p>
      <w:pPr>
        <w:pStyle w:val="Normal"/>
        <w:widowControl w:val="false"/>
        <w:tabs>
          <w:tab w:val="clear" w:pos="708"/>
          <w:tab w:val="left" w:pos="567" w:leader="none"/>
          <w:tab w:val="left" w:pos="993" w:leader="none"/>
        </w:tabs>
        <w:spacing w:before="0" w:after="0"/>
        <w:ind w:firstLine="709"/>
        <w:rPr>
          <w:color w:val="000000"/>
          <w:szCs w:val="26"/>
          <w:lang w:eastAsia="zh-CN"/>
        </w:rPr>
      </w:pPr>
      <w:r>
        <w:rPr>
          <w:color w:val="000000"/>
          <w:szCs w:val="26"/>
          <w:lang w:eastAsia="zh-CN"/>
        </w:rPr>
        <w:t>По окончании работ представить заказчику подтверждающие документы, о направлении отчета по инженерно-геодезическим изысканиям в уполномоченные на размещение в государственных информационных системах обеспечения градостроительной деятельности органы исполнительной власти субъектов Российской Федерации, органы местного самоуправления муниципальных образований, применительно к территориям, на которых выполнены инженерно-геодезические изыскания.</w:t>
      </w:r>
    </w:p>
    <w:p>
      <w:pPr>
        <w:pStyle w:val="ListParagraph"/>
        <w:widowControl w:val="false"/>
        <w:numPr>
          <w:ilvl w:val="2"/>
          <w:numId w:val="8"/>
        </w:numPr>
        <w:tabs>
          <w:tab w:val="clear" w:pos="708"/>
          <w:tab w:val="left" w:pos="284" w:leader="none"/>
          <w:tab w:val="left" w:pos="567" w:leader="none"/>
          <w:tab w:val="left" w:pos="993" w:leader="none"/>
          <w:tab w:val="left" w:pos="1134" w:leader="none"/>
        </w:tabs>
        <w:spacing w:before="0" w:after="0"/>
        <w:ind w:left="0" w:firstLine="709"/>
        <w:contextualSpacing/>
        <w:rPr>
          <w:color w:val="000000"/>
          <w:szCs w:val="26"/>
        </w:rPr>
      </w:pPr>
      <w:r>
        <w:rPr>
          <w:b/>
          <w:bCs/>
          <w:i/>
          <w:iCs/>
          <w:color w:val="000000" w:themeColor="text1"/>
          <w:szCs w:val="26"/>
          <w:lang w:eastAsia="ru-RU"/>
        </w:rPr>
        <w:t>Работы по оформлению правоустанавливающих, исходно-разрешительных документов на использование земельных участков.</w:t>
      </w:r>
    </w:p>
    <w:p>
      <w:pPr>
        <w:pStyle w:val="Standard"/>
        <w:numPr>
          <w:ilvl w:val="3"/>
          <w:numId w:val="8"/>
        </w:numPr>
        <w:tabs>
          <w:tab w:val="clear" w:pos="708"/>
          <w:tab w:val="left" w:pos="3318" w:leader="none"/>
        </w:tabs>
        <w:ind w:left="0" w:firstLine="709"/>
        <w:rPr>
          <w:b/>
          <w:szCs w:val="26"/>
        </w:rPr>
      </w:pPr>
      <w:r>
        <w:rPr>
          <w:b/>
          <w:szCs w:val="26"/>
        </w:rPr>
        <w:t>В отношении объектов строительства, планируемых к расположению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сервитута.</w:t>
      </w:r>
    </w:p>
    <w:p>
      <w:pPr>
        <w:pStyle w:val="Standard"/>
        <w:numPr>
          <w:ilvl w:val="4"/>
          <w:numId w:val="8"/>
        </w:numPr>
        <w:tabs>
          <w:tab w:val="clear" w:pos="708"/>
          <w:tab w:val="left" w:pos="3318" w:leader="none"/>
        </w:tabs>
        <w:ind w:left="0" w:firstLine="709"/>
        <w:rPr>
          <w:szCs w:val="26"/>
        </w:rPr>
      </w:pPr>
      <w:r>
        <w:rPr>
          <w:b/>
          <w:szCs w:val="26"/>
        </w:rPr>
        <w:t>Первый этап</w:t>
      </w:r>
      <w:r>
        <w:rPr>
          <w:szCs w:val="26"/>
        </w:rPr>
        <w:t>:</w:t>
      </w:r>
    </w:p>
    <w:p>
      <w:pPr>
        <w:pStyle w:val="Standard"/>
        <w:numPr>
          <w:ilvl w:val="5"/>
          <w:numId w:val="8"/>
        </w:numPr>
        <w:tabs>
          <w:tab w:val="clear" w:pos="708"/>
          <w:tab w:val="left" w:pos="3318" w:leader="none"/>
        </w:tabs>
        <w:ind w:left="0" w:firstLine="709"/>
        <w:rPr>
          <w:szCs w:val="26"/>
        </w:rPr>
      </w:pPr>
      <w:r>
        <w:rPr>
          <w:szCs w:val="26"/>
        </w:rPr>
        <w:t>Выезд с представителем АО «ДРСК» на предполагаемое место строительства, для определения трассы объекта;</w:t>
      </w:r>
    </w:p>
    <w:p>
      <w:pPr>
        <w:pStyle w:val="Standard"/>
        <w:numPr>
          <w:ilvl w:val="5"/>
          <w:numId w:val="8"/>
        </w:numPr>
        <w:tabs>
          <w:tab w:val="clear" w:pos="708"/>
          <w:tab w:val="left" w:pos="3318" w:leader="none"/>
        </w:tabs>
        <w:ind w:left="0" w:firstLine="709"/>
        <w:rPr>
          <w:szCs w:val="26"/>
        </w:rPr>
      </w:pPr>
      <w:r>
        <w:rPr>
          <w:szCs w:val="26"/>
        </w:rPr>
        <w:t>На основании предварительно выбранного варианта прохождения трассы, получить сведения из Единого государственного реестра недвижимости (ЕГРН)</w:t>
      </w:r>
      <w:r>
        <w:rPr>
          <w:szCs w:val="26"/>
          <w:lang w:eastAsia="en-US"/>
        </w:rPr>
        <w:t xml:space="preserve"> </w:t>
      </w:r>
      <w:r>
        <w:rPr>
          <w:szCs w:val="26"/>
        </w:rPr>
        <w:t>в виде кадастрового плана территорий (КПТ) и (или) выписки об основных характеристиках и зарегистрированных правах на объект недвижимости, в случае наличия земель лесного фонда получить выписки из государственного лесного реестра в Министерстве лесного хозяйства лесопереработки Хабаровского края.</w:t>
      </w:r>
    </w:p>
    <w:p>
      <w:pPr>
        <w:pStyle w:val="Standard"/>
        <w:numPr>
          <w:ilvl w:val="5"/>
          <w:numId w:val="8"/>
        </w:numPr>
        <w:tabs>
          <w:tab w:val="clear" w:pos="708"/>
          <w:tab w:val="left" w:pos="3318" w:leader="none"/>
        </w:tabs>
        <w:ind w:left="0" w:firstLine="709"/>
        <w:rPr>
          <w:szCs w:val="26"/>
        </w:rPr>
      </w:pPr>
      <w:r>
        <w:rPr>
          <w:szCs w:val="26"/>
        </w:rPr>
        <w:t>Изготовить схему границ предполагаемых к использованию земель или части земельного участка на кадастровом плане территории</w:t>
      </w:r>
      <w:r>
        <w:rPr>
          <w:b/>
          <w:szCs w:val="26"/>
        </w:rPr>
        <w:t xml:space="preserve"> </w:t>
      </w:r>
      <w:r>
        <w:rPr>
          <w:szCs w:val="26"/>
        </w:rPr>
        <w:t>с указанием координат характерных точек границ территории – в случае, если планируется использовать земли или часть земельного участка (с использованием системы координат, применяемой при ведении государственного кадастра недвижимости);</w:t>
      </w:r>
    </w:p>
    <w:p>
      <w:pPr>
        <w:pStyle w:val="Standard"/>
        <w:numPr>
          <w:ilvl w:val="5"/>
          <w:numId w:val="8"/>
        </w:numPr>
        <w:tabs>
          <w:tab w:val="clear" w:pos="708"/>
          <w:tab w:val="left" w:pos="3318" w:leader="none"/>
        </w:tabs>
        <w:ind w:left="0" w:firstLine="709"/>
        <w:rPr>
          <w:szCs w:val="26"/>
        </w:rPr>
      </w:pPr>
      <w:r>
        <w:rPr>
          <w:szCs w:val="26"/>
        </w:rPr>
        <w:t>Согласовать с Заказчиком схему границ предполагаемых к использованию земель или части земельного участка на кадастровом плане территории</w:t>
      </w:r>
      <w:r>
        <w:rPr>
          <w:b/>
          <w:szCs w:val="26"/>
        </w:rPr>
        <w:t xml:space="preserve"> </w:t>
      </w:r>
      <w:r>
        <w:rPr>
          <w:szCs w:val="26"/>
        </w:rPr>
        <w:t>с указанием координат характерных точек границ территории.</w:t>
      </w:r>
    </w:p>
    <w:p>
      <w:pPr>
        <w:pStyle w:val="Standard"/>
        <w:numPr>
          <w:ilvl w:val="4"/>
          <w:numId w:val="8"/>
        </w:numPr>
        <w:tabs>
          <w:tab w:val="clear" w:pos="708"/>
          <w:tab w:val="left" w:pos="180" w:leader="none"/>
          <w:tab w:val="left" w:pos="3318" w:leader="none"/>
        </w:tabs>
        <w:ind w:left="0" w:firstLine="709"/>
        <w:rPr>
          <w:b/>
          <w:szCs w:val="26"/>
        </w:rPr>
      </w:pPr>
      <w:r>
        <w:rPr>
          <w:b/>
          <w:szCs w:val="26"/>
        </w:rPr>
        <w:t>Второй этап:</w:t>
      </w:r>
    </w:p>
    <w:p>
      <w:pPr>
        <w:pStyle w:val="Standard"/>
        <w:numPr>
          <w:ilvl w:val="5"/>
          <w:numId w:val="8"/>
        </w:numPr>
        <w:tabs>
          <w:tab w:val="clear" w:pos="708"/>
          <w:tab w:val="left" w:pos="709" w:leader="none"/>
          <w:tab w:val="left" w:pos="3318" w:leader="none"/>
        </w:tabs>
        <w:ind w:left="0" w:firstLine="709"/>
        <w:rPr>
          <w:szCs w:val="26"/>
        </w:rPr>
      </w:pPr>
      <w:r>
        <w:rPr>
          <w:szCs w:val="26"/>
        </w:rPr>
        <w:t>Вынос в натуру с закреплением на местности границ, предполагаемых к использованию земель или части земельного участка, после получения разрешения на размещение объекта.</w:t>
      </w:r>
    </w:p>
    <w:p>
      <w:pPr>
        <w:pStyle w:val="Standard"/>
        <w:numPr>
          <w:ilvl w:val="3"/>
          <w:numId w:val="8"/>
        </w:numPr>
        <w:tabs>
          <w:tab w:val="clear" w:pos="708"/>
          <w:tab w:val="left" w:pos="3318" w:leader="none"/>
        </w:tabs>
        <w:ind w:left="0" w:firstLine="709"/>
        <w:rPr>
          <w:szCs w:val="26"/>
        </w:rPr>
      </w:pPr>
      <w:r>
        <w:rPr>
          <w:b/>
          <w:szCs w:val="26"/>
        </w:rPr>
        <w:t>В отношении объектов строительства, планируемых к расположению на частях земельных участков, находящихся в государственной и муниципальной собственности, в пользовании третьих лиц, а также в</w:t>
      </w:r>
      <w:r>
        <w:rPr>
          <w:szCs w:val="26"/>
        </w:rPr>
        <w:t xml:space="preserve"> </w:t>
      </w:r>
      <w:r>
        <w:rPr>
          <w:b/>
          <w:szCs w:val="26"/>
        </w:rPr>
        <w:t>собственности физических, юридических лиц.</w:t>
      </w:r>
    </w:p>
    <w:p>
      <w:pPr>
        <w:pStyle w:val="Standard"/>
        <w:numPr>
          <w:ilvl w:val="4"/>
          <w:numId w:val="8"/>
        </w:numPr>
        <w:tabs>
          <w:tab w:val="clear" w:pos="708"/>
          <w:tab w:val="left" w:pos="3318" w:leader="none"/>
        </w:tabs>
        <w:ind w:left="0" w:firstLine="709"/>
        <w:rPr>
          <w:b/>
          <w:szCs w:val="26"/>
        </w:rPr>
      </w:pPr>
      <w:r>
        <w:rPr>
          <w:b/>
          <w:szCs w:val="26"/>
        </w:rPr>
        <w:t>Первый этап:</w:t>
      </w:r>
    </w:p>
    <w:p>
      <w:pPr>
        <w:pStyle w:val="Standard"/>
        <w:numPr>
          <w:ilvl w:val="5"/>
          <w:numId w:val="8"/>
        </w:numPr>
        <w:tabs>
          <w:tab w:val="clear" w:pos="708"/>
          <w:tab w:val="left" w:pos="3318" w:leader="none"/>
        </w:tabs>
        <w:ind w:left="0" w:firstLine="709"/>
        <w:rPr>
          <w:szCs w:val="26"/>
        </w:rPr>
      </w:pPr>
      <w:r>
        <w:rPr>
          <w:szCs w:val="26"/>
        </w:rPr>
        <w:t>Выезд с представителем АО «ДРСК» на предполагаемое место строительства, для определения трассы объекта;</w:t>
      </w:r>
    </w:p>
    <w:p>
      <w:pPr>
        <w:pStyle w:val="Standard"/>
        <w:numPr>
          <w:ilvl w:val="5"/>
          <w:numId w:val="8"/>
        </w:numPr>
        <w:tabs>
          <w:tab w:val="clear" w:pos="708"/>
          <w:tab w:val="left" w:pos="3318" w:leader="none"/>
        </w:tabs>
        <w:ind w:left="0" w:firstLine="709"/>
        <w:rPr>
          <w:szCs w:val="26"/>
        </w:rPr>
      </w:pPr>
      <w:r>
        <w:rPr>
          <w:szCs w:val="26"/>
        </w:rPr>
        <w:t>На основании предварительно выбранного варианта прохождения трассы, получить сведения из Единого государственного реестра недвижимости (ЕГРН)</w:t>
      </w:r>
      <w:r>
        <w:rPr>
          <w:szCs w:val="26"/>
          <w:lang w:eastAsia="en-US"/>
        </w:rPr>
        <w:t xml:space="preserve"> </w:t>
      </w:r>
      <w:r>
        <w:rPr>
          <w:szCs w:val="26"/>
        </w:rPr>
        <w:t>в виде кадастрового плана территорий (КПТ) и (или) выписки об основных характеристиках и зарегистрированных правах на объект недвижимости;</w:t>
      </w:r>
    </w:p>
    <w:p>
      <w:pPr>
        <w:pStyle w:val="Standard"/>
        <w:numPr>
          <w:ilvl w:val="5"/>
          <w:numId w:val="8"/>
        </w:numPr>
        <w:tabs>
          <w:tab w:val="clear" w:pos="708"/>
          <w:tab w:val="left" w:pos="3318" w:leader="none"/>
        </w:tabs>
        <w:ind w:left="0" w:firstLine="709"/>
        <w:rPr>
          <w:szCs w:val="26"/>
        </w:rPr>
      </w:pPr>
      <w:r>
        <w:rPr>
          <w:szCs w:val="26"/>
        </w:rPr>
        <w:t>Согласовать с Правообладателем земельного участка:</w:t>
      </w:r>
    </w:p>
    <w:p>
      <w:pPr>
        <w:pStyle w:val="Standard"/>
        <w:ind w:firstLine="709"/>
        <w:rPr>
          <w:szCs w:val="26"/>
        </w:rPr>
      </w:pPr>
      <w:r>
        <w:rPr>
          <w:szCs w:val="26"/>
        </w:rPr>
        <w:t>- схему границ сервитута на кадастровом плане территории</w:t>
      </w:r>
      <w:r>
        <w:rPr>
          <w:b/>
          <w:szCs w:val="26"/>
        </w:rPr>
        <w:t xml:space="preserve"> </w:t>
      </w:r>
      <w:r>
        <w:rPr>
          <w:szCs w:val="26"/>
        </w:rPr>
        <w:t>с указанием координат характерных точек границ территории земельного участка, применительно:</w:t>
      </w:r>
    </w:p>
    <w:p>
      <w:pPr>
        <w:pStyle w:val="Standard"/>
        <w:ind w:firstLine="709"/>
        <w:rPr>
          <w:szCs w:val="26"/>
        </w:rPr>
      </w:pPr>
      <w:r>
        <w:rPr>
          <w:szCs w:val="26"/>
        </w:rPr>
        <w:t>для объектов строительства, планируемых к расположению на частях</w:t>
      </w:r>
      <w:r>
        <w:rPr>
          <w:i/>
          <w:szCs w:val="26"/>
        </w:rPr>
        <w:t xml:space="preserve"> </w:t>
      </w:r>
      <w:r>
        <w:rPr>
          <w:szCs w:val="26"/>
        </w:rPr>
        <w:t>земельных участков, находящихся в государственной и муниципальной собственности, и обремененных правами третьих лиц; применительно для объектов строительства, планируемых к расположению на частях</w:t>
      </w:r>
      <w:r>
        <w:rPr>
          <w:i/>
          <w:szCs w:val="26"/>
        </w:rPr>
        <w:t xml:space="preserve"> </w:t>
      </w:r>
      <w:r>
        <w:rPr>
          <w:szCs w:val="26"/>
        </w:rPr>
        <w:t>земельных участков, находящихся в собственности третьих лиц, с учетом требований, изложенных в п. 6.5. настоящего Технического задания;</w:t>
      </w:r>
    </w:p>
    <w:p>
      <w:pPr>
        <w:pStyle w:val="Standard"/>
        <w:ind w:firstLine="709"/>
        <w:rPr>
          <w:szCs w:val="26"/>
        </w:rPr>
      </w:pPr>
      <w:r>
        <w:rPr>
          <w:szCs w:val="26"/>
        </w:rPr>
        <w:t>- сведения о границах публичного сервитута, включающие графическое описание местоположения границ публичного сервитута и перечень координат характерных точек этих границ (применительно к земельным участкам, находящимся в собственности третьих лиц, на землях лесного фонда), с учетом требований, изложенных в п. 6.6. настоящего Технического задания;</w:t>
      </w:r>
    </w:p>
    <w:p>
      <w:pPr>
        <w:pStyle w:val="Standard"/>
        <w:ind w:firstLine="709"/>
        <w:rPr>
          <w:szCs w:val="26"/>
          <w:shd w:fill="FFFF00" w:val="clear"/>
        </w:rPr>
      </w:pPr>
      <w:r>
        <w:rPr>
          <w:szCs w:val="26"/>
          <w:shd w:fill="FFFF00" w:val="clear"/>
        </w:rPr>
      </w:r>
    </w:p>
    <w:p>
      <w:pPr>
        <w:pStyle w:val="Standard"/>
        <w:numPr>
          <w:ilvl w:val="4"/>
          <w:numId w:val="8"/>
        </w:numPr>
        <w:ind w:left="0" w:firstLine="709"/>
        <w:rPr>
          <w:b/>
          <w:szCs w:val="26"/>
        </w:rPr>
      </w:pPr>
      <w:r>
        <w:rPr>
          <w:b/>
          <w:szCs w:val="26"/>
        </w:rPr>
        <w:t>Второй этап:</w:t>
      </w:r>
    </w:p>
    <w:p>
      <w:pPr>
        <w:pStyle w:val="Standard"/>
        <w:numPr>
          <w:ilvl w:val="5"/>
          <w:numId w:val="8"/>
        </w:numPr>
        <w:tabs>
          <w:tab w:val="clear" w:pos="708"/>
          <w:tab w:val="left" w:pos="3318" w:leader="none"/>
        </w:tabs>
        <w:ind w:left="0" w:firstLine="709"/>
        <w:rPr>
          <w:szCs w:val="26"/>
        </w:rPr>
      </w:pPr>
      <w:r>
        <w:rPr>
          <w:szCs w:val="26"/>
        </w:rPr>
        <w:t>Вынос в натуру земельного участка/части земельного участка, с закреплением границ на местности, после уведомления Заказчиком о проведенной государственной регистрации соглашения об установлении сервитута (применительно для объектов строительства, планируемых к расположению на частях земельных участков, находящихся в собственности физических или юридических лиц)</w:t>
      </w:r>
      <w:r>
        <w:rPr>
          <w:i/>
          <w:szCs w:val="26"/>
        </w:rPr>
        <w:t xml:space="preserve"> </w:t>
      </w:r>
      <w:r>
        <w:rPr>
          <w:szCs w:val="26"/>
        </w:rPr>
        <w:t>либо уведомления Заказчиком о заключенном соглашении об установлении сервитута, на основании подготовленных схем, предусмотренных п. 5.2.1.3 настоящего Технического задания.</w:t>
      </w:r>
    </w:p>
    <w:p>
      <w:pPr>
        <w:pStyle w:val="Standard"/>
        <w:tabs>
          <w:tab w:val="clear" w:pos="708"/>
          <w:tab w:val="left" w:pos="3318" w:leader="none"/>
        </w:tabs>
        <w:ind w:left="709" w:hanging="0"/>
        <w:rPr>
          <w:b/>
          <w:szCs w:val="26"/>
        </w:rPr>
      </w:pPr>
      <w:r>
        <w:rPr>
          <w:b/>
          <w:szCs w:val="26"/>
        </w:rPr>
      </w:r>
    </w:p>
    <w:p>
      <w:pPr>
        <w:pStyle w:val="Standard"/>
        <w:numPr>
          <w:ilvl w:val="3"/>
          <w:numId w:val="8"/>
        </w:numPr>
        <w:tabs>
          <w:tab w:val="clear" w:pos="708"/>
          <w:tab w:val="left" w:pos="3318" w:leader="none"/>
        </w:tabs>
        <w:ind w:left="0" w:firstLine="709"/>
        <w:rPr>
          <w:b/>
          <w:szCs w:val="26"/>
        </w:rPr>
      </w:pPr>
      <w:r>
        <w:rPr>
          <w:b/>
          <w:szCs w:val="26"/>
        </w:rPr>
        <w:t>Дополнительные условия</w:t>
      </w:r>
    </w:p>
    <w:p>
      <w:pPr>
        <w:pStyle w:val="Standard"/>
        <w:numPr>
          <w:ilvl w:val="4"/>
          <w:numId w:val="8"/>
        </w:numPr>
        <w:tabs>
          <w:tab w:val="clear" w:pos="708"/>
          <w:tab w:val="left" w:pos="180" w:leader="none"/>
          <w:tab w:val="left" w:pos="3318" w:leader="none"/>
        </w:tabs>
        <w:ind w:left="0" w:firstLine="709"/>
        <w:rPr>
          <w:szCs w:val="26"/>
        </w:rPr>
      </w:pPr>
      <w:r>
        <w:rPr>
          <w:szCs w:val="26"/>
        </w:rPr>
        <w:t>Планировать расположение объекта с максимальным его размещением на землях и земельных участках, находящихся в государственной и муниципальной собственности, свободных от прав третьих лиц.</w:t>
      </w:r>
    </w:p>
    <w:p>
      <w:pPr>
        <w:pStyle w:val="Standard"/>
        <w:numPr>
          <w:ilvl w:val="4"/>
          <w:numId w:val="8"/>
        </w:numPr>
        <w:tabs>
          <w:tab w:val="clear" w:pos="708"/>
          <w:tab w:val="left" w:pos="180" w:leader="none"/>
          <w:tab w:val="left" w:pos="3318" w:leader="none"/>
        </w:tabs>
        <w:ind w:left="0" w:firstLine="709"/>
        <w:rPr>
          <w:szCs w:val="26"/>
        </w:rPr>
      </w:pPr>
      <w:r>
        <w:rPr>
          <w:szCs w:val="26"/>
        </w:rPr>
        <w:t>В отношении объектов строительства, планируемых к расположению на землях или земельных участков, находящихся в государственной или муниципальной собственности, без предоставления земельных участков и установления сервитута – руководствоваться постановлением Правительства Хабаровского края от 7 сентября 2017 года N 364-пр «Об утверждении Положения о порядке и об условиях размещения объектов, виды которых установлены Правительством Российской Федерации,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публичного сервитута на территории Хабаровского края и о признании утратившими силу отдельных постановлений Правительства Хабаровского края</w:t>
      </w:r>
      <w:r>
        <w:rPr>
          <w:bCs/>
          <w:iCs/>
          <w:szCs w:val="26"/>
        </w:rPr>
        <w:t>».</w:t>
      </w:r>
    </w:p>
    <w:p>
      <w:pPr>
        <w:pStyle w:val="Standard"/>
        <w:numPr>
          <w:ilvl w:val="4"/>
          <w:numId w:val="8"/>
        </w:numPr>
        <w:tabs>
          <w:tab w:val="clear" w:pos="708"/>
          <w:tab w:val="left" w:pos="567" w:leader="none"/>
          <w:tab w:val="left" w:pos="3318" w:leader="none"/>
        </w:tabs>
        <w:ind w:left="0" w:firstLine="709"/>
        <w:rPr>
          <w:szCs w:val="26"/>
        </w:rPr>
      </w:pPr>
      <w:r>
        <w:rPr>
          <w:szCs w:val="26"/>
        </w:rPr>
        <w:t>Определить размеры формируемых границ сервитутов:</w:t>
      </w:r>
    </w:p>
    <w:p>
      <w:pPr>
        <w:pStyle w:val="Standard"/>
        <w:numPr>
          <w:ilvl w:val="5"/>
          <w:numId w:val="9"/>
        </w:numPr>
        <w:tabs>
          <w:tab w:val="clear" w:pos="708"/>
          <w:tab w:val="left" w:pos="567" w:leader="none"/>
          <w:tab w:val="left" w:pos="3318" w:leader="none"/>
        </w:tabs>
        <w:ind w:left="0" w:firstLine="709"/>
        <w:rPr>
          <w:szCs w:val="26"/>
        </w:rPr>
      </w:pPr>
      <w:r>
        <w:rPr>
          <w:szCs w:val="26"/>
        </w:rPr>
        <w:t>частных (применительно для объектов строительства, планируемых к расположению на частях</w:t>
      </w:r>
      <w:r>
        <w:rPr>
          <w:i/>
          <w:szCs w:val="26"/>
        </w:rPr>
        <w:t xml:space="preserve"> </w:t>
      </w:r>
      <w:r>
        <w:rPr>
          <w:szCs w:val="26"/>
        </w:rPr>
        <w:t>земельных участков, находящихся в государственной и муниципальной собственности, и обремененных правами третьих лиц) -  в соответствии с Правилами определения размеров земельных участков для размещения воздушных линий электропередачи и опор линии связи, обслуживающих электрические сети, утвержденными постановлением Правительства Российской Федерации от 11.08.2003 № 486 и нормами отвода земель для электрических сетей напряжением 0,38 - 750 кВ. № 14278ТМ-Т1 (утверждено Минтопэнерго 20.05.1994);</w:t>
      </w:r>
    </w:p>
    <w:p>
      <w:pPr>
        <w:pStyle w:val="Standard"/>
        <w:numPr>
          <w:ilvl w:val="5"/>
          <w:numId w:val="9"/>
        </w:numPr>
        <w:tabs>
          <w:tab w:val="clear" w:pos="708"/>
          <w:tab w:val="left" w:pos="567" w:leader="none"/>
          <w:tab w:val="left" w:pos="1134" w:leader="none"/>
          <w:tab w:val="left" w:pos="1418" w:leader="none"/>
          <w:tab w:val="left" w:pos="3318" w:leader="none"/>
        </w:tabs>
        <w:ind w:left="0" w:firstLine="709"/>
        <w:rPr>
          <w:szCs w:val="26"/>
        </w:rPr>
      </w:pPr>
      <w:r>
        <w:rPr>
          <w:szCs w:val="26"/>
        </w:rPr>
        <w:t>публичных (применительно для объектов строительства, планируемых к расположению на частях</w:t>
      </w:r>
      <w:r>
        <w:rPr>
          <w:i/>
          <w:szCs w:val="26"/>
        </w:rPr>
        <w:t xml:space="preserve"> </w:t>
      </w:r>
      <w:r>
        <w:rPr>
          <w:szCs w:val="26"/>
        </w:rPr>
        <w:t>земельных участков, находящихся в собственности третьих лиц) – в соответствии с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РФ от 24.02.2009 N 160.</w:t>
      </w:r>
    </w:p>
    <w:p>
      <w:pPr>
        <w:pStyle w:val="Standard"/>
        <w:numPr>
          <w:ilvl w:val="4"/>
          <w:numId w:val="8"/>
        </w:numPr>
        <w:tabs>
          <w:tab w:val="clear" w:pos="708"/>
          <w:tab w:val="left" w:pos="567" w:leader="none"/>
          <w:tab w:val="left" w:pos="3318" w:leader="none"/>
        </w:tabs>
        <w:ind w:left="0" w:firstLine="709"/>
        <w:rPr>
          <w:color w:val="000000"/>
          <w:szCs w:val="26"/>
        </w:rPr>
      </w:pPr>
      <w:r>
        <w:rPr>
          <w:color w:val="000000"/>
          <w:szCs w:val="26"/>
        </w:rPr>
        <w:t>Схему границ предполагаемых к использованию земель или части земельного участка изготовить:</w:t>
      </w:r>
    </w:p>
    <w:p>
      <w:pPr>
        <w:pStyle w:val="Standard"/>
        <w:numPr>
          <w:ilvl w:val="5"/>
          <w:numId w:val="10"/>
        </w:numPr>
        <w:tabs>
          <w:tab w:val="clear" w:pos="708"/>
          <w:tab w:val="left" w:pos="567" w:leader="none"/>
          <w:tab w:val="left" w:pos="3318" w:leader="none"/>
        </w:tabs>
        <w:ind w:left="0" w:firstLine="709"/>
        <w:rPr>
          <w:color w:val="000000"/>
          <w:szCs w:val="26"/>
        </w:rPr>
      </w:pPr>
      <w:r>
        <w:rPr>
          <w:color w:val="000000"/>
          <w:szCs w:val="26"/>
        </w:rPr>
        <w:t>на кадастровом плане территории, в системе координат МСК 27;</w:t>
      </w:r>
    </w:p>
    <w:p>
      <w:pPr>
        <w:pStyle w:val="Standard"/>
        <w:numPr>
          <w:ilvl w:val="5"/>
          <w:numId w:val="10"/>
        </w:numPr>
        <w:tabs>
          <w:tab w:val="clear" w:pos="708"/>
          <w:tab w:val="left" w:pos="567" w:leader="none"/>
          <w:tab w:val="left" w:pos="3318" w:leader="none"/>
        </w:tabs>
        <w:ind w:left="0" w:firstLine="709"/>
        <w:rPr>
          <w:color w:val="auto"/>
          <w:szCs w:val="26"/>
        </w:rPr>
      </w:pPr>
      <w:r>
        <w:rPr>
          <w:color w:val="000000"/>
          <w:szCs w:val="26"/>
        </w:rPr>
        <w:t>один экземпляр на бумажном носителе, и в электронном виде (формат *.</w:t>
      </w:r>
      <w:r>
        <w:rPr>
          <w:color w:val="000000"/>
          <w:szCs w:val="26"/>
          <w:lang w:val="en-US"/>
        </w:rPr>
        <w:t>pdf</w:t>
      </w:r>
      <w:r>
        <w:rPr>
          <w:color w:val="000000"/>
          <w:szCs w:val="26"/>
        </w:rPr>
        <w:t>, *.</w:t>
      </w:r>
      <w:r>
        <w:rPr>
          <w:color w:val="000000"/>
          <w:szCs w:val="26"/>
          <w:lang w:val="en-US"/>
        </w:rPr>
        <w:t>doc</w:t>
      </w:r>
      <w:r>
        <w:rPr>
          <w:color w:val="000000"/>
          <w:szCs w:val="26"/>
        </w:rPr>
        <w:t>);</w:t>
      </w:r>
    </w:p>
    <w:p>
      <w:pPr>
        <w:pStyle w:val="Standard"/>
        <w:numPr>
          <w:ilvl w:val="4"/>
          <w:numId w:val="8"/>
        </w:numPr>
        <w:tabs>
          <w:tab w:val="clear" w:pos="708"/>
          <w:tab w:val="left" w:pos="567" w:leader="none"/>
          <w:tab w:val="left" w:pos="3318" w:leader="none"/>
        </w:tabs>
        <w:ind w:left="0" w:firstLine="709"/>
        <w:rPr>
          <w:color w:val="000000"/>
          <w:szCs w:val="26"/>
        </w:rPr>
      </w:pPr>
      <w:r>
        <w:rPr>
          <w:color w:val="000000"/>
          <w:szCs w:val="26"/>
        </w:rPr>
        <w:t>Схему границ сервитута на кадастровом плане территории изготовить:</w:t>
      </w:r>
    </w:p>
    <w:p>
      <w:pPr>
        <w:pStyle w:val="Standard"/>
        <w:numPr>
          <w:ilvl w:val="5"/>
          <w:numId w:val="11"/>
        </w:numPr>
        <w:tabs>
          <w:tab w:val="clear" w:pos="708"/>
          <w:tab w:val="left" w:pos="567" w:leader="none"/>
          <w:tab w:val="left" w:pos="3318" w:leader="none"/>
        </w:tabs>
        <w:ind w:left="0" w:firstLine="709"/>
        <w:rPr>
          <w:color w:val="000000"/>
          <w:szCs w:val="26"/>
        </w:rPr>
      </w:pPr>
      <w:r>
        <w:rPr>
          <w:color w:val="000000"/>
          <w:szCs w:val="26"/>
        </w:rPr>
        <w:t>в системе координат МСК 27;</w:t>
      </w:r>
    </w:p>
    <w:p>
      <w:pPr>
        <w:pStyle w:val="Standard"/>
        <w:numPr>
          <w:ilvl w:val="5"/>
          <w:numId w:val="11"/>
        </w:numPr>
        <w:tabs>
          <w:tab w:val="clear" w:pos="708"/>
          <w:tab w:val="left" w:pos="567" w:leader="none"/>
          <w:tab w:val="left" w:pos="3318" w:leader="none"/>
        </w:tabs>
        <w:ind w:left="0" w:firstLine="709"/>
        <w:rPr>
          <w:color w:val="auto"/>
          <w:szCs w:val="26"/>
        </w:rPr>
      </w:pPr>
      <w:r>
        <w:rPr>
          <w:color w:val="000000"/>
          <w:szCs w:val="26"/>
        </w:rPr>
        <w:t>один экземпляр на бумажном носителе, и в электронном виде (формат *.</w:t>
      </w:r>
      <w:r>
        <w:rPr>
          <w:color w:val="000000"/>
          <w:szCs w:val="26"/>
          <w:lang w:val="en-US"/>
        </w:rPr>
        <w:t>pdf</w:t>
      </w:r>
      <w:r>
        <w:rPr>
          <w:color w:val="000000"/>
          <w:szCs w:val="26"/>
        </w:rPr>
        <w:t>, *.</w:t>
      </w:r>
      <w:r>
        <w:rPr>
          <w:color w:val="000000"/>
          <w:szCs w:val="26"/>
          <w:lang w:val="en-US"/>
        </w:rPr>
        <w:t>doc</w:t>
      </w:r>
      <w:r>
        <w:rPr>
          <w:color w:val="000000"/>
          <w:szCs w:val="26"/>
        </w:rPr>
        <w:t>);</w:t>
      </w:r>
    </w:p>
    <w:p>
      <w:pPr>
        <w:pStyle w:val="Standard"/>
        <w:numPr>
          <w:ilvl w:val="4"/>
          <w:numId w:val="8"/>
        </w:numPr>
        <w:ind w:left="0" w:firstLine="709"/>
        <w:rPr>
          <w:szCs w:val="26"/>
        </w:rPr>
      </w:pPr>
      <w:r>
        <w:rPr>
          <w:szCs w:val="26"/>
        </w:rPr>
        <w:t>Сведения о границах публичного сервитута, включающие графическое описание местоположения границ публичного сервитута и перечень координат характерных точек этих границ изготовить в соответствии с приказом Росреестра от 13.01.2021 N П/0004 "Об установлении требований к графическому описанию местоположения границ публичного сервитута, точности определения координат характерных точек границ публичного сервитута, формату электронного документа, содержащего указанные сведения"</w:t>
      </w:r>
    </w:p>
    <w:p>
      <w:pPr>
        <w:pStyle w:val="Standard"/>
        <w:numPr>
          <w:ilvl w:val="4"/>
          <w:numId w:val="8"/>
        </w:numPr>
        <w:tabs>
          <w:tab w:val="clear" w:pos="708"/>
          <w:tab w:val="left" w:pos="567" w:leader="none"/>
          <w:tab w:val="left" w:pos="3318" w:leader="none"/>
        </w:tabs>
        <w:ind w:left="0" w:firstLine="709"/>
        <w:rPr>
          <w:szCs w:val="26"/>
        </w:rPr>
      </w:pPr>
      <w:r>
        <w:rPr>
          <w:color w:val="000000"/>
          <w:szCs w:val="26"/>
        </w:rPr>
        <w:t>Схему границ предполагаемых к использованию земель или части земельного участка изготовить с учётом требований приказа Федеральной службы государственной регистрации кадастра и картографии от 19.04.2022 № П/0148.</w:t>
      </w:r>
    </w:p>
    <w:p>
      <w:pPr>
        <w:pStyle w:val="Normal"/>
        <w:tabs>
          <w:tab w:val="clear" w:pos="708"/>
          <w:tab w:val="left" w:pos="567" w:leader="none"/>
        </w:tabs>
        <w:ind w:firstLine="709"/>
        <w:rPr>
          <w:i/>
          <w:i/>
          <w:iCs/>
          <w:color w:val="000000"/>
          <w:szCs w:val="26"/>
        </w:rPr>
      </w:pPr>
      <w:r>
        <w:rPr>
          <w:i/>
          <w:iCs/>
          <w:color w:val="000000"/>
          <w:szCs w:val="26"/>
        </w:rPr>
      </w:r>
    </w:p>
    <w:p>
      <w:pPr>
        <w:pStyle w:val="Normal"/>
        <w:tabs>
          <w:tab w:val="clear" w:pos="708"/>
          <w:tab w:val="left" w:pos="567" w:leader="none"/>
        </w:tabs>
        <w:ind w:firstLine="709"/>
        <w:rPr>
          <w:i/>
          <w:i/>
          <w:iCs/>
          <w:color w:val="000000"/>
          <w:szCs w:val="26"/>
        </w:rPr>
      </w:pPr>
      <w:r>
        <w:rPr>
          <w:i/>
          <w:iCs/>
          <w:color w:val="000000"/>
          <w:szCs w:val="26"/>
        </w:rPr>
        <w:t>Срок выполнения: в течение 120 дней с даты заключения договора.</w:t>
      </w:r>
    </w:p>
    <w:p>
      <w:pPr>
        <w:pStyle w:val="Normal"/>
        <w:tabs>
          <w:tab w:val="clear" w:pos="708"/>
          <w:tab w:val="left" w:pos="567" w:leader="none"/>
        </w:tabs>
        <w:ind w:firstLine="709"/>
        <w:rPr>
          <w:i/>
          <w:i/>
          <w:iCs/>
          <w:color w:val="000000"/>
          <w:szCs w:val="26"/>
        </w:rPr>
      </w:pPr>
      <w:r>
        <w:rPr>
          <w:i/>
          <w:iCs/>
          <w:color w:val="000000"/>
          <w:szCs w:val="26"/>
        </w:rPr>
      </w:r>
    </w:p>
    <w:p>
      <w:pPr>
        <w:pStyle w:val="Normal"/>
        <w:widowControl w:val="false"/>
        <w:tabs>
          <w:tab w:val="clear" w:pos="708"/>
          <w:tab w:val="left" w:pos="284" w:leader="none"/>
          <w:tab w:val="left" w:pos="567" w:leader="none"/>
          <w:tab w:val="left" w:pos="993" w:leader="none"/>
          <w:tab w:val="left" w:pos="1134" w:leader="none"/>
        </w:tabs>
        <w:spacing w:before="0" w:after="0"/>
        <w:ind w:firstLine="709"/>
        <w:contextualSpacing/>
        <w:rPr>
          <w:b/>
          <w:color w:val="000000" w:themeColor="text1"/>
          <w:szCs w:val="26"/>
        </w:rPr>
      </w:pPr>
      <w:r>
        <w:rPr>
          <w:b/>
          <w:i/>
          <w:szCs w:val="26"/>
        </w:rPr>
        <w:t xml:space="preserve">II-й этап: Разработка проектной документации. </w:t>
      </w:r>
    </w:p>
    <w:p>
      <w:pPr>
        <w:pStyle w:val="ListParagraph"/>
        <w:widowControl w:val="false"/>
        <w:tabs>
          <w:tab w:val="clear" w:pos="708"/>
          <w:tab w:val="left" w:pos="284" w:leader="none"/>
          <w:tab w:val="left" w:pos="567" w:leader="none"/>
          <w:tab w:val="left" w:pos="993" w:leader="none"/>
          <w:tab w:val="left" w:pos="1134" w:leader="none"/>
        </w:tabs>
        <w:spacing w:before="0" w:after="0"/>
        <w:ind w:left="0" w:firstLine="709"/>
        <w:contextualSpacing/>
        <w:rPr>
          <w:b/>
          <w:color w:val="000000" w:themeColor="text1"/>
          <w:szCs w:val="26"/>
        </w:rPr>
      </w:pPr>
      <w:r>
        <w:rPr>
          <w:b/>
          <w:color w:val="000000" w:themeColor="text1"/>
          <w:szCs w:val="26"/>
        </w:rPr>
      </w:r>
    </w:p>
    <w:p>
      <w:pPr>
        <w:pStyle w:val="Normal"/>
        <w:widowControl w:val="false"/>
        <w:numPr>
          <w:ilvl w:val="2"/>
          <w:numId w:val="8"/>
        </w:numPr>
        <w:tabs>
          <w:tab w:val="clear" w:pos="708"/>
          <w:tab w:val="left" w:pos="284" w:leader="none"/>
          <w:tab w:val="left" w:pos="567" w:leader="none"/>
          <w:tab w:val="left" w:pos="993" w:leader="none"/>
          <w:tab w:val="left" w:pos="1134" w:leader="none"/>
        </w:tabs>
        <w:spacing w:before="0" w:after="0"/>
        <w:ind w:left="0" w:firstLine="709"/>
        <w:contextualSpacing/>
        <w:rPr>
          <w:szCs w:val="26"/>
        </w:rPr>
      </w:pPr>
      <w:r>
        <w:rPr>
          <w:szCs w:val="26"/>
        </w:rPr>
        <w:t>Разработать, согласовать с АО «ДРСК» и выдать проектную документацию в объеме, достаточном для организации закупок подрядных работ оборудования и МТР, разработки рабочей документации. При этом выполнить:</w:t>
      </w:r>
    </w:p>
    <w:p>
      <w:pPr>
        <w:pStyle w:val="ListParagraph"/>
        <w:numPr>
          <w:ilvl w:val="3"/>
          <w:numId w:val="8"/>
        </w:numPr>
        <w:tabs>
          <w:tab w:val="clear" w:pos="708"/>
          <w:tab w:val="left" w:pos="567" w:leader="none"/>
        </w:tabs>
        <w:ind w:left="0" w:firstLine="709"/>
        <w:rPr>
          <w:color w:val="000000"/>
          <w:szCs w:val="26"/>
        </w:rPr>
      </w:pPr>
      <w:r>
        <w:rPr>
          <w:color w:val="000000"/>
          <w:szCs w:val="26"/>
        </w:rPr>
        <w:t>Для ПС Южная с учетом раздела 3 настоящего ТЗ:</w:t>
      </w:r>
    </w:p>
    <w:p>
      <w:pPr>
        <w:pStyle w:val="Normal"/>
        <w:tabs>
          <w:tab w:val="clear" w:pos="708"/>
          <w:tab w:val="left" w:pos="567" w:leader="none"/>
        </w:tabs>
        <w:ind w:firstLine="709"/>
        <w:rPr>
          <w:szCs w:val="26"/>
        </w:rPr>
      </w:pPr>
      <w:r>
        <w:rPr>
          <w:szCs w:val="26"/>
        </w:rPr>
        <w:t>- главную электрическую схему подстанции;</w:t>
      </w:r>
    </w:p>
    <w:p>
      <w:pPr>
        <w:pStyle w:val="Normal"/>
        <w:tabs>
          <w:tab w:val="clear" w:pos="708"/>
          <w:tab w:val="left" w:pos="567" w:leader="none"/>
        </w:tabs>
        <w:ind w:firstLine="709"/>
        <w:rPr>
          <w:szCs w:val="26"/>
        </w:rPr>
      </w:pPr>
      <w:r>
        <w:rPr>
          <w:szCs w:val="26"/>
        </w:rPr>
        <w:t>- конструктивные и компоновочные решения РУ;</w:t>
      </w:r>
    </w:p>
    <w:p>
      <w:pPr>
        <w:pStyle w:val="Normal"/>
        <w:tabs>
          <w:tab w:val="clear" w:pos="708"/>
          <w:tab w:val="left" w:pos="567" w:leader="none"/>
        </w:tabs>
        <w:ind w:firstLine="709"/>
        <w:rPr>
          <w:szCs w:val="26"/>
        </w:rPr>
      </w:pPr>
      <w:r>
        <w:rPr>
          <w:szCs w:val="26"/>
        </w:rPr>
        <w:t>- генеральный план ПС с нанесением на чертеже существующего и вновь устанавливаемого оборудования (для реконструкции, расширения);</w:t>
      </w:r>
    </w:p>
    <w:p>
      <w:pPr>
        <w:pStyle w:val="Normal"/>
        <w:tabs>
          <w:tab w:val="clear" w:pos="708"/>
          <w:tab w:val="left" w:pos="567" w:leader="none"/>
        </w:tabs>
        <w:ind w:firstLine="709"/>
        <w:rPr>
          <w:szCs w:val="26"/>
        </w:rPr>
      </w:pPr>
      <w:r>
        <w:rPr>
          <w:szCs w:val="26"/>
        </w:rPr>
        <w:t>-</w:t>
        <w:tab/>
        <w:t>конструктивные и компоновочные решения;</w:t>
      </w:r>
    </w:p>
    <w:p>
      <w:pPr>
        <w:pStyle w:val="Normal"/>
        <w:tabs>
          <w:tab w:val="clear" w:pos="708"/>
          <w:tab w:val="left" w:pos="567" w:leader="none"/>
        </w:tabs>
        <w:ind w:firstLine="709"/>
        <w:rPr>
          <w:szCs w:val="26"/>
        </w:rPr>
      </w:pPr>
      <w:r>
        <w:rPr>
          <w:szCs w:val="26"/>
        </w:rPr>
        <w:t>-</w:t>
        <w:tab/>
        <w:t xml:space="preserve">решения по системам РЗА, ПА; </w:t>
      </w:r>
    </w:p>
    <w:p>
      <w:pPr>
        <w:pStyle w:val="Normal"/>
        <w:tabs>
          <w:tab w:val="clear" w:pos="708"/>
          <w:tab w:val="left" w:pos="567" w:leader="none"/>
        </w:tabs>
        <w:ind w:firstLine="709"/>
        <w:rPr>
          <w:szCs w:val="26"/>
        </w:rPr>
      </w:pPr>
      <w:r>
        <w:rPr>
          <w:szCs w:val="26"/>
        </w:rPr>
        <w:t>-</w:t>
        <w:tab/>
        <w:t>план заходов проектируемой КЛ;</w:t>
      </w:r>
    </w:p>
    <w:p>
      <w:pPr>
        <w:pStyle w:val="Normal"/>
        <w:tabs>
          <w:tab w:val="clear" w:pos="708"/>
          <w:tab w:val="left" w:pos="567" w:leader="none"/>
        </w:tabs>
        <w:ind w:firstLine="709"/>
        <w:rPr>
          <w:color w:val="050000"/>
          <w:szCs w:val="26"/>
        </w:rPr>
      </w:pPr>
      <w:r>
        <w:rPr>
          <w:color w:val="050000"/>
          <w:szCs w:val="26"/>
        </w:rPr>
      </w:r>
    </w:p>
    <w:p>
      <w:pPr>
        <w:pStyle w:val="ListParagraph"/>
        <w:numPr>
          <w:ilvl w:val="3"/>
          <w:numId w:val="8"/>
        </w:numPr>
        <w:tabs>
          <w:tab w:val="clear" w:pos="708"/>
          <w:tab w:val="left" w:pos="567" w:leader="none"/>
        </w:tabs>
        <w:ind w:left="0" w:firstLine="709"/>
        <w:rPr>
          <w:color w:val="050000"/>
          <w:szCs w:val="26"/>
        </w:rPr>
      </w:pPr>
      <w:r>
        <w:rPr>
          <w:color w:val="050000"/>
          <w:szCs w:val="26"/>
        </w:rPr>
        <w:t xml:space="preserve">Для ЛЭП 6 кВ </w:t>
      </w:r>
      <w:r>
        <w:rPr>
          <w:color w:val="000000"/>
          <w:szCs w:val="26"/>
        </w:rPr>
        <w:t>с учетом раздела 3 настоящего ТЗ</w:t>
      </w:r>
      <w:r>
        <w:rPr>
          <w:color w:val="050000"/>
          <w:szCs w:val="26"/>
        </w:rPr>
        <w:t>:</w:t>
      </w:r>
    </w:p>
    <w:p>
      <w:pPr>
        <w:pStyle w:val="Normal"/>
        <w:tabs>
          <w:tab w:val="clear" w:pos="708"/>
          <w:tab w:val="left" w:pos="567" w:leader="none"/>
        </w:tabs>
        <w:ind w:firstLine="709"/>
        <w:rPr>
          <w:color w:val="050000"/>
          <w:szCs w:val="26"/>
        </w:rPr>
      </w:pPr>
      <w:r>
        <w:rPr>
          <w:color w:val="050000"/>
          <w:szCs w:val="26"/>
        </w:rPr>
        <w:t>- точки присоединения к сетям;</w:t>
      </w:r>
    </w:p>
    <w:p>
      <w:pPr>
        <w:pStyle w:val="Normal"/>
        <w:tabs>
          <w:tab w:val="clear" w:pos="708"/>
          <w:tab w:val="left" w:pos="567" w:leader="none"/>
        </w:tabs>
        <w:ind w:firstLine="709"/>
        <w:rPr>
          <w:color w:val="050000"/>
          <w:szCs w:val="26"/>
        </w:rPr>
      </w:pPr>
      <w:r>
        <w:rPr>
          <w:color w:val="050000"/>
          <w:szCs w:val="26"/>
        </w:rPr>
        <w:t>- основные технические решения, в т.ч. по применению типовых или неунифицированных, индивидуально сконструированных строительных конструкций (при необходимости);</w:t>
      </w:r>
    </w:p>
    <w:p>
      <w:pPr>
        <w:pStyle w:val="Normal"/>
        <w:tabs>
          <w:tab w:val="clear" w:pos="708"/>
          <w:tab w:val="left" w:pos="567" w:leader="none"/>
        </w:tabs>
        <w:ind w:firstLine="709"/>
        <w:rPr>
          <w:color w:val="050000"/>
          <w:szCs w:val="26"/>
        </w:rPr>
      </w:pPr>
      <w:r>
        <w:rPr>
          <w:color w:val="050000"/>
          <w:szCs w:val="26"/>
        </w:rPr>
        <w:t>- характеристики пропускной способности КЛ в обе стороны (учитывая нормированную плотность тока);</w:t>
      </w:r>
    </w:p>
    <w:p>
      <w:pPr>
        <w:pStyle w:val="Normal"/>
        <w:tabs>
          <w:tab w:val="clear" w:pos="708"/>
          <w:tab w:val="left" w:pos="567" w:leader="none"/>
        </w:tabs>
        <w:ind w:firstLine="709"/>
        <w:rPr>
          <w:color w:val="050000"/>
          <w:szCs w:val="26"/>
        </w:rPr>
      </w:pPr>
      <w:r>
        <w:rPr>
          <w:color w:val="050000"/>
          <w:szCs w:val="26"/>
        </w:rPr>
        <w:t>- протяженность и вариант прохождения трассы;</w:t>
      </w:r>
    </w:p>
    <w:p>
      <w:pPr>
        <w:pStyle w:val="Normal"/>
        <w:tabs>
          <w:tab w:val="clear" w:pos="708"/>
          <w:tab w:val="left" w:pos="567" w:leader="none"/>
        </w:tabs>
        <w:ind w:firstLine="709"/>
        <w:rPr>
          <w:color w:val="050000"/>
          <w:szCs w:val="26"/>
        </w:rPr>
      </w:pPr>
      <w:r>
        <w:rPr>
          <w:color w:val="050000"/>
          <w:szCs w:val="26"/>
        </w:rPr>
        <w:t>- количество цепей;</w:t>
      </w:r>
    </w:p>
    <w:p>
      <w:pPr>
        <w:pStyle w:val="Normal"/>
        <w:tabs>
          <w:tab w:val="clear" w:pos="708"/>
          <w:tab w:val="left" w:pos="567" w:leader="none"/>
        </w:tabs>
        <w:ind w:firstLine="709"/>
        <w:rPr>
          <w:color w:val="050000"/>
          <w:szCs w:val="26"/>
        </w:rPr>
      </w:pPr>
      <w:r>
        <w:rPr>
          <w:color w:val="050000"/>
          <w:szCs w:val="26"/>
        </w:rPr>
        <w:t>- линейную изоляцию (тип кабеля);</w:t>
      </w:r>
    </w:p>
    <w:p>
      <w:pPr>
        <w:pStyle w:val="Normal"/>
        <w:tabs>
          <w:tab w:val="clear" w:pos="708"/>
          <w:tab w:val="left" w:pos="567" w:leader="none"/>
        </w:tabs>
        <w:ind w:firstLine="709"/>
        <w:rPr>
          <w:color w:val="050000"/>
          <w:szCs w:val="26"/>
        </w:rPr>
      </w:pPr>
      <w:r>
        <w:rPr>
          <w:color w:val="050000"/>
          <w:szCs w:val="26"/>
        </w:rPr>
        <w:t>- способ прокладки КЛ, схему заходов и подключения КЛ к ПС;</w:t>
      </w:r>
    </w:p>
    <w:p>
      <w:pPr>
        <w:pStyle w:val="Normal"/>
        <w:numPr>
          <w:ilvl w:val="3"/>
          <w:numId w:val="8"/>
        </w:numPr>
        <w:tabs>
          <w:tab w:val="clear" w:pos="708"/>
          <w:tab w:val="left" w:pos="567" w:leader="none"/>
        </w:tabs>
        <w:ind w:left="0" w:firstLine="709"/>
        <w:rPr>
          <w:color w:val="000000"/>
          <w:szCs w:val="26"/>
        </w:rPr>
      </w:pPr>
      <w:r>
        <w:rPr>
          <w:color w:val="000000"/>
          <w:szCs w:val="26"/>
        </w:rPr>
        <w:t xml:space="preserve">Разработать варианты размещения ЛЭП: </w:t>
      </w:r>
    </w:p>
    <w:p>
      <w:pPr>
        <w:pStyle w:val="ListParagraph"/>
        <w:tabs>
          <w:tab w:val="clear" w:pos="708"/>
          <w:tab w:val="left" w:pos="567" w:leader="none"/>
        </w:tabs>
        <w:spacing w:before="60" w:after="0"/>
        <w:ind w:left="0" w:firstLine="709"/>
        <w:contextualSpacing/>
        <w:rPr>
          <w:color w:val="000000"/>
          <w:szCs w:val="26"/>
        </w:rPr>
      </w:pPr>
      <w:r>
        <w:rPr>
          <w:color w:val="000000"/>
          <w:szCs w:val="26"/>
        </w:rPr>
        <w:t>- планировать расположение объекта с максимальным его размещением на землях и земельных участках, находящихся в государственной и муниципальной собственности, свободных от прав третьих лиц, с наименьшим количеством наложений на земельные участки третьих лиц;</w:t>
      </w:r>
    </w:p>
    <w:p>
      <w:pPr>
        <w:pStyle w:val="ListParagraph"/>
        <w:tabs>
          <w:tab w:val="clear" w:pos="708"/>
          <w:tab w:val="left" w:pos="567" w:leader="none"/>
        </w:tabs>
        <w:spacing w:before="60" w:after="0"/>
        <w:ind w:left="0" w:firstLine="709"/>
        <w:contextualSpacing/>
        <w:rPr>
          <w:color w:val="000000"/>
          <w:szCs w:val="26"/>
        </w:rPr>
      </w:pPr>
      <w:r>
        <w:rPr>
          <w:color w:val="000000"/>
          <w:szCs w:val="26"/>
        </w:rPr>
        <w:t xml:space="preserve">- исключить либо минимизировать наложения на земельные участки, находящиеся в ведении Министерства обороны Российской Федерации; </w:t>
      </w:r>
    </w:p>
    <w:p>
      <w:pPr>
        <w:pStyle w:val="ListParagraph"/>
        <w:tabs>
          <w:tab w:val="clear" w:pos="708"/>
          <w:tab w:val="left" w:pos="567" w:leader="none"/>
        </w:tabs>
        <w:spacing w:before="60" w:after="0"/>
        <w:ind w:left="0" w:firstLine="709"/>
        <w:contextualSpacing/>
        <w:rPr>
          <w:color w:val="000000"/>
          <w:szCs w:val="26"/>
        </w:rPr>
      </w:pPr>
      <w:r>
        <w:rPr>
          <w:color w:val="000000"/>
          <w:szCs w:val="26"/>
        </w:rPr>
        <w:t>- исключить либо минимизировать площади вырубки леса, памятники историко-культурного наследия, особо охраняемые территории, месторождения полезных ископаемых.</w:t>
      </w:r>
    </w:p>
    <w:p>
      <w:pPr>
        <w:pStyle w:val="ListParagraph"/>
        <w:tabs>
          <w:tab w:val="clear" w:pos="708"/>
          <w:tab w:val="left" w:pos="567" w:leader="none"/>
        </w:tabs>
        <w:spacing w:before="60" w:after="0"/>
        <w:ind w:left="0" w:firstLine="709"/>
        <w:contextualSpacing/>
        <w:rPr>
          <w:color w:val="000000"/>
          <w:szCs w:val="26"/>
        </w:rPr>
      </w:pPr>
      <w:r>
        <w:rPr>
          <w:color w:val="000000"/>
          <w:szCs w:val="26"/>
        </w:rPr>
        <w:t xml:space="preserve">Варианты места размещения ЛЭП отразить в графических материалах и в таблице по форме </w:t>
      </w:r>
      <w:r>
        <w:rPr>
          <w:b/>
          <w:bCs/>
          <w:color w:val="000000"/>
          <w:szCs w:val="26"/>
        </w:rPr>
        <w:t>Приложения 3</w:t>
      </w:r>
      <w:r>
        <w:rPr>
          <w:color w:val="000000"/>
          <w:szCs w:val="26"/>
        </w:rPr>
        <w:t xml:space="preserve"> к настоящему ТЗ в разрезе каждого объекта (ЛЭП) отдельно, с указанием информации о протяженности, площади, количестве пересечений с инфраструктурными, социальными, природными и режимными объектами, количестве земельных участков, требующихся для размещения объектов проектирования, стоимости объектов проектирования, включая размер платы, связанный с использованием земельных участков, и иное. </w:t>
      </w:r>
    </w:p>
    <w:p>
      <w:pPr>
        <w:pStyle w:val="ListParagraph"/>
        <w:tabs>
          <w:tab w:val="clear" w:pos="708"/>
          <w:tab w:val="left" w:pos="567" w:leader="none"/>
        </w:tabs>
        <w:spacing w:before="60" w:after="0"/>
        <w:ind w:left="0" w:firstLine="709"/>
        <w:contextualSpacing/>
        <w:rPr>
          <w:color w:val="000000"/>
          <w:szCs w:val="26"/>
        </w:rPr>
      </w:pPr>
      <w:r>
        <w:rPr>
          <w:color w:val="000000"/>
          <w:szCs w:val="26"/>
        </w:rPr>
        <w:t xml:space="preserve">Наиболее оптимальный вариант размещения ЛЭП отразить в выводах с указанием их местоположения с наименованиями муниципальных образований, включая наименования городских, сельских поселений, муниципальных районов/округов, городских округов, межселенных территорий и т.д., субъектов, в соответствии с уставами и/или законами муниципальных образований и иными источниками информации. </w:t>
      </w:r>
    </w:p>
    <w:p>
      <w:pPr>
        <w:pStyle w:val="ListParagraph"/>
        <w:widowControl w:val="false"/>
        <w:numPr>
          <w:ilvl w:val="3"/>
          <w:numId w:val="8"/>
        </w:numPr>
        <w:tabs>
          <w:tab w:val="clear" w:pos="708"/>
          <w:tab w:val="left" w:pos="284" w:leader="none"/>
          <w:tab w:val="left" w:pos="567" w:leader="none"/>
          <w:tab w:val="left" w:pos="993" w:leader="none"/>
          <w:tab w:val="left" w:pos="1134" w:leader="none"/>
        </w:tabs>
        <w:spacing w:before="0" w:after="0"/>
        <w:ind w:left="0" w:firstLine="709"/>
        <w:contextualSpacing/>
        <w:rPr>
          <w:b/>
          <w:color w:val="000000" w:themeColor="text1"/>
          <w:szCs w:val="26"/>
        </w:rPr>
      </w:pPr>
      <w:r>
        <w:rPr>
          <w:szCs w:val="26"/>
        </w:rPr>
        <w:t>Дополнительно предусмотреть:</w:t>
      </w:r>
    </w:p>
    <w:p>
      <w:pPr>
        <w:pStyle w:val="ListParagraph"/>
        <w:widowControl w:val="false"/>
        <w:tabs>
          <w:tab w:val="clear" w:pos="708"/>
          <w:tab w:val="left" w:pos="284" w:leader="none"/>
          <w:tab w:val="left" w:pos="567" w:leader="none"/>
          <w:tab w:val="left" w:pos="993" w:leader="none"/>
          <w:tab w:val="left" w:pos="1134" w:leader="none"/>
        </w:tabs>
        <w:spacing w:before="0" w:after="0"/>
        <w:ind w:left="0" w:firstLine="709"/>
        <w:contextualSpacing/>
        <w:rPr>
          <w:szCs w:val="26"/>
        </w:rPr>
      </w:pPr>
      <w:r>
        <w:rPr>
          <w:szCs w:val="26"/>
        </w:rPr>
        <w:t>- Обеспечить ввод кабельной системы в эксплуатацию в соответствии с требованиями действующих НТД.</w:t>
      </w:r>
    </w:p>
    <w:p>
      <w:pPr>
        <w:pStyle w:val="ListParagraph"/>
        <w:widowControl w:val="false"/>
        <w:tabs>
          <w:tab w:val="clear" w:pos="708"/>
          <w:tab w:val="left" w:pos="284" w:leader="none"/>
          <w:tab w:val="left" w:pos="567" w:leader="none"/>
          <w:tab w:val="left" w:pos="993" w:leader="none"/>
          <w:tab w:val="left" w:pos="1134" w:leader="none"/>
        </w:tabs>
        <w:spacing w:before="0" w:after="0"/>
        <w:ind w:left="0" w:firstLine="709"/>
        <w:contextualSpacing/>
        <w:rPr>
          <w:szCs w:val="26"/>
        </w:rPr>
      </w:pPr>
      <w:r>
        <w:rPr>
          <w:szCs w:val="26"/>
        </w:rPr>
        <w:t>- При проектировании кабельной линии в ом числе руководствоваться требованиями инструкций заводов изготовителей силового кабеля и муфт.</w:t>
      </w:r>
    </w:p>
    <w:p>
      <w:pPr>
        <w:pStyle w:val="ListParagraph"/>
        <w:widowControl w:val="false"/>
        <w:tabs>
          <w:tab w:val="clear" w:pos="708"/>
          <w:tab w:val="left" w:pos="284" w:leader="none"/>
          <w:tab w:val="left" w:pos="567" w:leader="none"/>
          <w:tab w:val="left" w:pos="993" w:leader="none"/>
          <w:tab w:val="left" w:pos="1134" w:leader="none"/>
        </w:tabs>
        <w:spacing w:before="0" w:after="0"/>
        <w:ind w:left="0" w:firstLine="709"/>
        <w:contextualSpacing/>
        <w:rPr>
          <w:szCs w:val="26"/>
        </w:rPr>
      </w:pPr>
      <w:r>
        <w:rPr>
          <w:color w:val="000000"/>
          <w:szCs w:val="26"/>
        </w:rPr>
        <w:t xml:space="preserve">- </w:t>
      </w:r>
      <w:r>
        <w:rPr>
          <w:szCs w:val="26"/>
        </w:rPr>
        <w:t>Предусмотреть мероприятия по обеспечению минимального времени ограничения электроснабжения потребителей при производстве работ, либо предусмотреть мероприятия по осуществление электроснабжения потребителей на период строительства. Организацию указанных работ должна производиться вне отопительного сезона.</w:t>
      </w:r>
    </w:p>
    <w:p>
      <w:pPr>
        <w:pStyle w:val="ListParagraph"/>
        <w:widowControl w:val="false"/>
        <w:tabs>
          <w:tab w:val="clear" w:pos="708"/>
          <w:tab w:val="left" w:pos="284" w:leader="none"/>
          <w:tab w:val="left" w:pos="567" w:leader="none"/>
          <w:tab w:val="left" w:pos="993" w:leader="none"/>
          <w:tab w:val="left" w:pos="1134" w:leader="none"/>
        </w:tabs>
        <w:spacing w:before="0" w:after="0"/>
        <w:ind w:left="0" w:firstLine="709"/>
        <w:contextualSpacing/>
        <w:rPr>
          <w:szCs w:val="26"/>
        </w:rPr>
      </w:pPr>
      <w:r>
        <w:rPr>
          <w:szCs w:val="26"/>
        </w:rPr>
        <w:t>- Обеспечить наличие и оформление охранной зоны проектируемой КЛ, в соответствии с Постановлением Правительства РФ от 24.02.2009 №160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>
      <w:pPr>
        <w:pStyle w:val="ListParagraph"/>
        <w:widowControl w:val="false"/>
        <w:numPr>
          <w:ilvl w:val="3"/>
          <w:numId w:val="8"/>
        </w:numPr>
        <w:tabs>
          <w:tab w:val="clear" w:pos="708"/>
          <w:tab w:val="left" w:pos="284" w:leader="none"/>
          <w:tab w:val="left" w:pos="567" w:leader="none"/>
          <w:tab w:val="left" w:pos="993" w:leader="none"/>
          <w:tab w:val="left" w:pos="1134" w:leader="none"/>
        </w:tabs>
        <w:spacing w:before="0" w:after="0"/>
        <w:ind w:left="0" w:firstLine="709"/>
        <w:contextualSpacing/>
        <w:rPr>
          <w:b/>
          <w:color w:val="000000" w:themeColor="text1"/>
          <w:szCs w:val="26"/>
        </w:rPr>
      </w:pPr>
      <w:r>
        <w:rPr>
          <w:szCs w:val="26"/>
        </w:rPr>
        <w:t>Разработать и выдать проектную документацию в объеме, достаточном для организации закупок подрядных работ и оборудования, разработки рабочей документации (при необходимости предусмотреть обоснование и согласование с Заказчиком основных технических решений по объекту в более ранний срок).</w:t>
      </w:r>
      <w:r>
        <w:rPr>
          <w:b/>
          <w:color w:val="000000" w:themeColor="text1"/>
          <w:szCs w:val="26"/>
        </w:rPr>
        <w:t xml:space="preserve"> </w:t>
      </w:r>
    </w:p>
    <w:p>
      <w:pPr>
        <w:pStyle w:val="ListParagraph"/>
        <w:widowControl w:val="false"/>
        <w:tabs>
          <w:tab w:val="clear" w:pos="708"/>
          <w:tab w:val="left" w:pos="284" w:leader="none"/>
          <w:tab w:val="left" w:pos="567" w:leader="none"/>
        </w:tabs>
        <w:spacing w:before="0" w:after="0"/>
        <w:ind w:left="0" w:firstLine="709"/>
        <w:contextualSpacing/>
        <w:rPr>
          <w:color w:val="000000" w:themeColor="text1"/>
          <w:szCs w:val="26"/>
        </w:rPr>
      </w:pPr>
      <w:r>
        <w:rPr>
          <w:color w:val="000000" w:themeColor="text1"/>
          <w:szCs w:val="26"/>
        </w:rPr>
        <w:t xml:space="preserve">Одновременно с первичным направлением на рассмотрение и согласование томов проектной документации с Заказчиком, направить перечень томов проектной документации, подготавливаемых в рамках настоящего проекта. </w:t>
      </w:r>
    </w:p>
    <w:p>
      <w:pPr>
        <w:pStyle w:val="ListParagraph"/>
        <w:widowControl w:val="false"/>
        <w:tabs>
          <w:tab w:val="clear" w:pos="708"/>
          <w:tab w:val="left" w:pos="284" w:leader="none"/>
          <w:tab w:val="left" w:pos="567" w:leader="none"/>
        </w:tabs>
        <w:spacing w:before="0" w:after="0"/>
        <w:ind w:left="0" w:firstLine="709"/>
        <w:contextualSpacing/>
        <w:rPr>
          <w:color w:val="000000" w:themeColor="text1"/>
          <w:szCs w:val="26"/>
        </w:rPr>
      </w:pPr>
      <w:r>
        <w:rPr>
          <w:color w:val="000000" w:themeColor="text1"/>
          <w:szCs w:val="26"/>
        </w:rPr>
        <w:t>При направлении откорректированных материалов проектной документации разработчиком должны быть приложены ответы на замечания с указанием разделов и страниц проектной документации, в которые были внесены изменения. Кроме того, указанные изменения должны быть выделены цветом по тексту документов, предоставлена таблица устранения выданных замечаний/таблица разногласий по выданным замечаниям.</w:t>
      </w:r>
    </w:p>
    <w:p>
      <w:pPr>
        <w:pStyle w:val="Standard"/>
        <w:widowControl w:val="false"/>
        <w:numPr>
          <w:ilvl w:val="3"/>
          <w:numId w:val="8"/>
        </w:numPr>
        <w:tabs>
          <w:tab w:val="clear" w:pos="708"/>
          <w:tab w:val="left" w:pos="567" w:leader="none"/>
        </w:tabs>
        <w:spacing w:before="0" w:after="0"/>
        <w:ind w:left="0" w:firstLine="709"/>
        <w:rPr>
          <w:szCs w:val="26"/>
        </w:rPr>
      </w:pPr>
      <w:r>
        <w:rPr>
          <w:szCs w:val="26"/>
        </w:rPr>
        <w:t xml:space="preserve">Разработать и выдать сметную документацию, в соответствии с п.28 Положения о составе разделов проектной документации и требованиях к их содержанию.  </w:t>
      </w:r>
    </w:p>
    <w:p>
      <w:pPr>
        <w:pStyle w:val="Standard"/>
        <w:widowControl w:val="false"/>
        <w:numPr>
          <w:ilvl w:val="3"/>
          <w:numId w:val="8"/>
        </w:numPr>
        <w:tabs>
          <w:tab w:val="clear" w:pos="708"/>
          <w:tab w:val="left" w:pos="567" w:leader="none"/>
        </w:tabs>
        <w:spacing w:before="0" w:after="0"/>
        <w:ind w:left="0" w:firstLine="709"/>
        <w:rPr>
          <w:szCs w:val="26"/>
        </w:rPr>
      </w:pPr>
      <w:r>
        <w:rPr>
          <w:szCs w:val="26"/>
        </w:rPr>
        <w:t>Разработать и выдать конкурсную документацию в объеме, достаточном для проведения закупок подрядных работ на выполнение СМР, техническую документацию для проведения закупок оборудования и материалов.</w:t>
      </w:r>
    </w:p>
    <w:p>
      <w:pPr>
        <w:pStyle w:val="Standard"/>
        <w:widowControl w:val="false"/>
        <w:numPr>
          <w:ilvl w:val="3"/>
          <w:numId w:val="8"/>
        </w:numPr>
        <w:tabs>
          <w:tab w:val="clear" w:pos="708"/>
          <w:tab w:val="left" w:pos="567" w:leader="none"/>
        </w:tabs>
        <w:spacing w:before="0" w:after="0"/>
        <w:ind w:left="0" w:firstLine="709"/>
        <w:rPr>
          <w:szCs w:val="26"/>
        </w:rPr>
      </w:pPr>
      <w:r>
        <w:rPr>
          <w:szCs w:val="26"/>
        </w:rPr>
        <w:t xml:space="preserve"> </w:t>
      </w:r>
      <w:r>
        <w:rPr>
          <w:szCs w:val="26"/>
        </w:rPr>
        <w:t xml:space="preserve">По результатам </w:t>
      </w:r>
      <w:r>
        <w:rPr>
          <w:szCs w:val="26"/>
          <w:lang w:val="en-US"/>
        </w:rPr>
        <w:t>II</w:t>
      </w:r>
      <w:r>
        <w:rPr>
          <w:szCs w:val="26"/>
        </w:rPr>
        <w:t xml:space="preserve"> этапа выполненные проектные материалы с пояснительной запиской предоставить Заказчику для последующего рассмотрения и согласования с профильными структурными подразделениями АО «ДРСК и смежными организациями.</w:t>
      </w:r>
    </w:p>
    <w:p>
      <w:pPr>
        <w:pStyle w:val="Standard"/>
        <w:widowControl w:val="false"/>
        <w:numPr>
          <w:ilvl w:val="3"/>
          <w:numId w:val="8"/>
        </w:numPr>
        <w:tabs>
          <w:tab w:val="clear" w:pos="708"/>
          <w:tab w:val="left" w:pos="567" w:leader="none"/>
        </w:tabs>
        <w:spacing w:before="0" w:after="0"/>
        <w:ind w:left="0" w:firstLine="709"/>
        <w:rPr>
          <w:szCs w:val="26"/>
        </w:rPr>
      </w:pPr>
      <w:r>
        <w:rPr>
          <w:szCs w:val="26"/>
        </w:rPr>
        <w:t>К разработке рабочей документации (</w:t>
      </w:r>
      <w:r>
        <w:rPr>
          <w:szCs w:val="26"/>
          <w:lang w:val="en-US"/>
        </w:rPr>
        <w:t>II</w:t>
      </w:r>
      <w:r>
        <w:rPr>
          <w:szCs w:val="26"/>
        </w:rPr>
        <w:t xml:space="preserve"> этапу) приступить после определения Заказчиком поставщиков оборудования.</w:t>
      </w:r>
    </w:p>
    <w:p>
      <w:pPr>
        <w:pStyle w:val="Standard"/>
        <w:widowControl w:val="false"/>
        <w:numPr>
          <w:ilvl w:val="3"/>
          <w:numId w:val="8"/>
        </w:numPr>
        <w:tabs>
          <w:tab w:val="clear" w:pos="708"/>
          <w:tab w:val="left" w:pos="567" w:leader="none"/>
        </w:tabs>
        <w:spacing w:before="0" w:after="0"/>
        <w:ind w:left="0" w:firstLine="709"/>
        <w:rPr>
          <w:szCs w:val="26"/>
        </w:rPr>
      </w:pPr>
      <w:r>
        <w:rPr>
          <w:szCs w:val="26"/>
        </w:rPr>
        <w:t xml:space="preserve">Итогом 1 этапа является утверждение Заказчиком проектной документации.   </w:t>
      </w:r>
    </w:p>
    <w:p>
      <w:pPr>
        <w:pStyle w:val="Normal"/>
        <w:widowControl w:val="false"/>
        <w:tabs>
          <w:tab w:val="clear" w:pos="708"/>
          <w:tab w:val="left" w:pos="567" w:leader="none"/>
        </w:tabs>
        <w:spacing w:before="0" w:after="0"/>
        <w:ind w:firstLine="709"/>
        <w:rPr>
          <w:szCs w:val="26"/>
          <w:shd w:fill="81D41A" w:val="clear"/>
        </w:rPr>
      </w:pPr>
      <w:r>
        <w:rPr>
          <w:szCs w:val="26"/>
          <w:shd w:fill="81D41A" w:val="clear"/>
        </w:rPr>
      </w:r>
    </w:p>
    <w:p>
      <w:pPr>
        <w:pStyle w:val="Normal"/>
        <w:widowControl w:val="false"/>
        <w:tabs>
          <w:tab w:val="clear" w:pos="708"/>
          <w:tab w:val="left" w:pos="567" w:leader="none"/>
        </w:tabs>
        <w:spacing w:before="0" w:after="0"/>
        <w:ind w:firstLine="709"/>
        <w:rPr>
          <w:szCs w:val="26"/>
          <w:shd w:fill="81D41A" w:val="clear"/>
        </w:rPr>
      </w:pPr>
      <w:r>
        <w:rPr>
          <w:b/>
          <w:bCs/>
          <w:i/>
          <w:color w:val="000000"/>
          <w:szCs w:val="26"/>
          <w:shd w:fill="FFFFFF" w:val="clear"/>
        </w:rPr>
        <w:t>III-й этап:</w:t>
      </w:r>
      <w:r>
        <w:rPr>
          <w:b/>
          <w:i/>
          <w:color w:val="000000"/>
          <w:szCs w:val="26"/>
        </w:rPr>
        <w:t xml:space="preserve"> </w:t>
      </w:r>
      <w:r>
        <w:rPr>
          <w:b/>
          <w:bCs/>
          <w:i/>
          <w:iCs/>
          <w:szCs w:val="26"/>
          <w:lang w:bidi="ru-RU"/>
        </w:rPr>
        <w:t>Разработка, согласование с АО «ДРСК» рабочей документации, обеспечивающей реализацию принятых в ПД технических решений</w:t>
      </w:r>
      <w:r>
        <w:rPr>
          <w:szCs w:val="26"/>
          <w:lang w:bidi="ru-RU"/>
        </w:rPr>
        <w:t xml:space="preserve">. </w:t>
      </w:r>
    </w:p>
    <w:p>
      <w:pPr>
        <w:pStyle w:val="Normal"/>
        <w:widowControl w:val="false"/>
        <w:tabs>
          <w:tab w:val="clear" w:pos="708"/>
          <w:tab w:val="left" w:pos="567" w:leader="none"/>
        </w:tabs>
        <w:spacing w:before="0" w:after="0"/>
        <w:ind w:firstLine="709"/>
        <w:rPr>
          <w:szCs w:val="26"/>
          <w:shd w:fill="81D41A" w:val="clear"/>
        </w:rPr>
      </w:pPr>
      <w:r>
        <w:rPr>
          <w:szCs w:val="26"/>
          <w:shd w:fill="81D41A" w:val="clear"/>
        </w:rPr>
      </w:r>
    </w:p>
    <w:p>
      <w:pPr>
        <w:pStyle w:val="Standard"/>
        <w:widowControl w:val="false"/>
        <w:numPr>
          <w:ilvl w:val="2"/>
          <w:numId w:val="8"/>
        </w:numPr>
        <w:tabs>
          <w:tab w:val="clear" w:pos="708"/>
          <w:tab w:val="left" w:pos="567" w:leader="none"/>
        </w:tabs>
        <w:spacing w:before="0" w:after="0"/>
        <w:ind w:left="0" w:firstLine="709"/>
        <w:rPr>
          <w:szCs w:val="26"/>
        </w:rPr>
      </w:pPr>
      <w:r>
        <w:rPr>
          <w:szCs w:val="26"/>
        </w:rPr>
        <w:t>Разработать рабочую документацию, обеспечивающую реализацию принятых в утвержденной проектной документации технических решений объекта, необходимых для производства строительно-монтажных и пусконаладочных работ.</w:t>
      </w:r>
    </w:p>
    <w:p>
      <w:pPr>
        <w:pStyle w:val="Standard"/>
        <w:widowControl w:val="false"/>
        <w:numPr>
          <w:ilvl w:val="2"/>
          <w:numId w:val="8"/>
        </w:numPr>
        <w:tabs>
          <w:tab w:val="clear" w:pos="708"/>
          <w:tab w:val="left" w:pos="567" w:leader="none"/>
          <w:tab w:val="left" w:pos="1080" w:leader="none"/>
        </w:tabs>
        <w:spacing w:before="0" w:after="0"/>
        <w:ind w:left="0" w:firstLine="709"/>
        <w:rPr>
          <w:szCs w:val="26"/>
        </w:rPr>
      </w:pPr>
      <w:r>
        <w:rPr>
          <w:szCs w:val="26"/>
        </w:rPr>
        <w:t>Работы по проектированию считаются выполненными после утверждения Заказчиком проектно-сметной документации.</w:t>
      </w:r>
    </w:p>
    <w:p>
      <w:pPr>
        <w:pStyle w:val="Standard"/>
        <w:numPr>
          <w:ilvl w:val="2"/>
          <w:numId w:val="8"/>
        </w:numPr>
        <w:tabs>
          <w:tab w:val="clear" w:pos="708"/>
          <w:tab w:val="left" w:pos="-3402" w:leader="none"/>
          <w:tab w:val="left" w:pos="-2127" w:leader="none"/>
          <w:tab w:val="left" w:pos="567" w:leader="none"/>
          <w:tab w:val="left" w:pos="709" w:leader="none"/>
        </w:tabs>
        <w:ind w:left="0" w:firstLine="709"/>
        <w:rPr>
          <w:szCs w:val="26"/>
        </w:rPr>
      </w:pPr>
      <w:r>
        <w:rPr>
          <w:szCs w:val="26"/>
        </w:rPr>
        <w:t>Результатом выполнения работ является согласованная со всеми заинтересованными организациями, утвержденная Заказчиком проектная документация, в том числе сметная документация, рабочая документация по объектам, указанным в настоящем техническом задании.</w:t>
      </w:r>
    </w:p>
    <w:p>
      <w:pPr>
        <w:pStyle w:val="Normal"/>
        <w:widowControl w:val="false"/>
        <w:tabs>
          <w:tab w:val="clear" w:pos="708"/>
          <w:tab w:val="left" w:pos="284" w:leader="none"/>
          <w:tab w:val="left" w:pos="567" w:leader="none"/>
        </w:tabs>
        <w:spacing w:before="0" w:after="0"/>
        <w:ind w:firstLine="709"/>
        <w:contextualSpacing/>
        <w:rPr>
          <w:szCs w:val="26"/>
        </w:rPr>
      </w:pPr>
      <w:r>
        <w:rPr>
          <w:szCs w:val="26"/>
        </w:rPr>
      </w:r>
    </w:p>
    <w:p>
      <w:pPr>
        <w:pStyle w:val="ListParagraph"/>
        <w:widowControl w:val="false"/>
        <w:numPr>
          <w:ilvl w:val="0"/>
          <w:numId w:val="6"/>
        </w:numPr>
        <w:tabs>
          <w:tab w:val="clear" w:pos="708"/>
          <w:tab w:val="left" w:pos="284" w:leader="none"/>
          <w:tab w:val="left" w:pos="567" w:leader="none"/>
        </w:tabs>
        <w:spacing w:before="0" w:after="0"/>
        <w:ind w:left="0" w:firstLine="709"/>
        <w:contextualSpacing/>
        <w:rPr>
          <w:b/>
          <w:szCs w:val="26"/>
        </w:rPr>
      </w:pPr>
      <w:r>
        <w:rPr>
          <w:b/>
          <w:szCs w:val="26"/>
        </w:rPr>
        <w:t xml:space="preserve">Особые условия: </w:t>
      </w:r>
    </w:p>
    <w:p>
      <w:pPr>
        <w:pStyle w:val="ListParagraph"/>
        <w:widowControl w:val="false"/>
        <w:numPr>
          <w:ilvl w:val="1"/>
          <w:numId w:val="6"/>
        </w:numPr>
        <w:tabs>
          <w:tab w:val="clear" w:pos="708"/>
          <w:tab w:val="left" w:pos="284" w:leader="none"/>
          <w:tab w:val="left" w:pos="567" w:leader="none"/>
        </w:tabs>
        <w:spacing w:before="0" w:after="0"/>
        <w:ind w:left="0" w:firstLine="709"/>
        <w:contextualSpacing/>
        <w:rPr>
          <w:szCs w:val="26"/>
        </w:rPr>
      </w:pPr>
      <w:r>
        <w:rPr>
          <w:szCs w:val="26"/>
        </w:rPr>
        <w:t>Разделы проектно-сметной документации выполнить в соответствии с Положением о составе разделов проектной документации и требованиях к их содержанию (Утв. Постановлением Правительства РФ от 16.02.2008г. № 87) и ГОСТ Р 21.101-2020 Основные требования к проектной и рабочей документации.</w:t>
      </w:r>
    </w:p>
    <w:p>
      <w:pPr>
        <w:pStyle w:val="ListParagraph"/>
        <w:widowControl w:val="false"/>
        <w:numPr>
          <w:ilvl w:val="1"/>
          <w:numId w:val="6"/>
        </w:numPr>
        <w:tabs>
          <w:tab w:val="clear" w:pos="708"/>
          <w:tab w:val="left" w:pos="284" w:leader="none"/>
          <w:tab w:val="left" w:pos="567" w:leader="none"/>
        </w:tabs>
        <w:spacing w:before="0" w:after="0"/>
        <w:ind w:left="0" w:firstLine="709"/>
        <w:contextualSpacing/>
        <w:rPr>
          <w:szCs w:val="26"/>
        </w:rPr>
      </w:pPr>
      <w:r>
        <w:rPr>
          <w:szCs w:val="26"/>
        </w:rPr>
        <w:t>Противопожарные мероприятия выполнить в соответствии с действующими правилами пожарной безопасности для энергетических объектов</w:t>
      </w:r>
      <w:r>
        <w:rPr>
          <w:color w:val="000000"/>
          <w:szCs w:val="26"/>
        </w:rPr>
        <w:t xml:space="preserve">. </w:t>
      </w:r>
    </w:p>
    <w:p>
      <w:pPr>
        <w:pStyle w:val="ListParagraph"/>
        <w:widowControl w:val="false"/>
        <w:numPr>
          <w:ilvl w:val="1"/>
          <w:numId w:val="6"/>
        </w:numPr>
        <w:tabs>
          <w:tab w:val="clear" w:pos="708"/>
          <w:tab w:val="left" w:pos="284" w:leader="none"/>
          <w:tab w:val="left" w:pos="567" w:leader="none"/>
        </w:tabs>
        <w:spacing w:before="0" w:after="0"/>
        <w:ind w:left="0" w:firstLine="709"/>
        <w:contextualSpacing/>
        <w:rPr>
          <w:szCs w:val="26"/>
        </w:rPr>
      </w:pPr>
      <w:r>
        <w:rPr>
          <w:szCs w:val="26"/>
        </w:rPr>
        <w:t xml:space="preserve">Требования к оформлению и выполнению сметных расчетов. </w:t>
      </w:r>
    </w:p>
    <w:p>
      <w:pPr>
        <w:pStyle w:val="ListParagraph"/>
        <w:widowControl w:val="false"/>
        <w:numPr>
          <w:ilvl w:val="1"/>
          <w:numId w:val="6"/>
        </w:numPr>
        <w:tabs>
          <w:tab w:val="clear" w:pos="708"/>
          <w:tab w:val="left" w:pos="284" w:leader="none"/>
          <w:tab w:val="left" w:pos="567" w:leader="none"/>
        </w:tabs>
        <w:spacing w:before="0" w:after="0"/>
        <w:ind w:left="0" w:firstLine="709"/>
        <w:contextualSpacing/>
        <w:rPr>
          <w:szCs w:val="26"/>
        </w:rPr>
      </w:pPr>
      <w:r>
        <w:rPr>
          <w:szCs w:val="26"/>
        </w:rPr>
        <w:t xml:space="preserve">Разработка сметной документации осуществляется в соответствии с Требованиями к оформлению и составлению сметной документации </w:t>
      </w:r>
      <w:r>
        <w:rPr>
          <w:color w:val="050000"/>
          <w:szCs w:val="26"/>
        </w:rPr>
        <w:t>(Приложение № 2 к ТТ).</w:t>
      </w:r>
    </w:p>
    <w:p>
      <w:pPr>
        <w:pStyle w:val="ListParagraph"/>
        <w:widowControl w:val="false"/>
        <w:numPr>
          <w:ilvl w:val="1"/>
          <w:numId w:val="6"/>
        </w:numPr>
        <w:tabs>
          <w:tab w:val="clear" w:pos="708"/>
          <w:tab w:val="left" w:pos="284" w:leader="none"/>
          <w:tab w:val="left" w:pos="567" w:leader="none"/>
        </w:tabs>
        <w:spacing w:before="0" w:after="0"/>
        <w:ind w:left="0" w:firstLine="709"/>
        <w:contextualSpacing/>
        <w:rPr>
          <w:szCs w:val="26"/>
        </w:rPr>
      </w:pPr>
      <w:r>
        <w:rPr>
          <w:szCs w:val="26"/>
        </w:rPr>
        <w:t xml:space="preserve">Подрядчик в день завершения работ, указанный в календарном плане, направляет в филиал АО «ДРСК» Акт сдачи-приемки выполненных работ с приложением 4 (четырех) экземпляров ПСД в бумажном виде и 1 экземпляр в электронном виде (на </w:t>
      </w:r>
      <w:r>
        <w:rPr>
          <w:szCs w:val="26"/>
          <w:lang w:val="en-US"/>
        </w:rPr>
        <w:t>CD</w:t>
      </w:r>
      <w:r>
        <w:rPr>
          <w:szCs w:val="26"/>
        </w:rPr>
        <w:t xml:space="preserve">), одновременно направляет 1 экземпляр в электронном виде (на CD) в АО «ДРСК» </w:t>
        <w:br/>
        <w:t xml:space="preserve">г. Благовещенск </w:t>
      </w:r>
      <w:r>
        <w:rPr>
          <w:i/>
          <w:szCs w:val="26"/>
        </w:rPr>
        <w:t>(в случае одноэтапного проектирования – утверждаемая часть проекта (основные решения) и рабочая документация)</w:t>
      </w:r>
      <w:r>
        <w:rPr>
          <w:szCs w:val="26"/>
        </w:rPr>
        <w:t>.</w:t>
      </w:r>
    </w:p>
    <w:p>
      <w:pPr>
        <w:pStyle w:val="ListParagraph"/>
        <w:widowControl w:val="false"/>
        <w:numPr>
          <w:ilvl w:val="1"/>
          <w:numId w:val="6"/>
        </w:numPr>
        <w:tabs>
          <w:tab w:val="clear" w:pos="708"/>
          <w:tab w:val="left" w:pos="284" w:leader="none"/>
          <w:tab w:val="left" w:pos="567" w:leader="none"/>
        </w:tabs>
        <w:spacing w:before="0" w:after="0"/>
        <w:ind w:left="0" w:firstLine="709"/>
        <w:contextualSpacing/>
        <w:rPr>
          <w:szCs w:val="26"/>
        </w:rPr>
      </w:pPr>
      <w:r>
        <w:rPr>
          <w:szCs w:val="26"/>
        </w:rPr>
        <w:t>Использование форматов при передаче документации в электронном виде: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before="0" w:after="0"/>
        <w:ind w:firstLine="709"/>
        <w:rPr>
          <w:szCs w:val="26"/>
        </w:rPr>
      </w:pPr>
      <w:r>
        <w:rPr>
          <w:szCs w:val="26"/>
        </w:rPr>
      </w:r>
    </w:p>
    <w:tbl>
      <w:tblPr>
        <w:tblW w:w="9108" w:type="dxa"/>
        <w:jc w:val="left"/>
        <w:tblInd w:w="626" w:type="dxa"/>
        <w:tblLayout w:type="fixed"/>
        <w:tblCellMar>
          <w:top w:w="0" w:type="dxa"/>
          <w:left w:w="103" w:type="dxa"/>
          <w:bottom w:w="0" w:type="dxa"/>
          <w:right w:w="108" w:type="dxa"/>
        </w:tblCellMar>
        <w:tblLook w:noVBand="0" w:val="01e0" w:noHBand="0" w:lastColumn="1" w:firstColumn="1" w:lastRow="1" w:firstRow="1"/>
      </w:tblPr>
      <w:tblGrid>
        <w:gridCol w:w="3185"/>
        <w:gridCol w:w="3758"/>
        <w:gridCol w:w="2165"/>
      </w:tblGrid>
      <w:tr>
        <w:trPr>
          <w:trHeight w:val="522" w:hRule="atLeast"/>
        </w:trPr>
        <w:tc>
          <w:tcPr>
            <w:tcW w:w="31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84" w:leader="none"/>
              </w:tabs>
              <w:spacing w:before="0" w:after="0"/>
              <w:ind w:firstLine="709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Вид документа</w:t>
            </w:r>
          </w:p>
        </w:tc>
        <w:tc>
          <w:tcPr>
            <w:tcW w:w="3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84" w:leader="none"/>
              </w:tabs>
              <w:spacing w:before="0" w:after="0"/>
              <w:ind w:firstLine="709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Используемое приложение</w:t>
            </w:r>
          </w:p>
        </w:tc>
        <w:tc>
          <w:tcPr>
            <w:tcW w:w="2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84" w:leader="none"/>
              </w:tabs>
              <w:spacing w:before="0" w:after="0"/>
              <w:ind w:firstLine="709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Формат</w:t>
            </w:r>
          </w:p>
        </w:tc>
      </w:tr>
      <w:tr>
        <w:trPr/>
        <w:tc>
          <w:tcPr>
            <w:tcW w:w="31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84" w:leader="none"/>
              </w:tabs>
              <w:spacing w:before="0" w:after="0"/>
              <w:jc w:val="left"/>
              <w:rPr>
                <w:szCs w:val="26"/>
              </w:rPr>
            </w:pPr>
            <w:r>
              <w:rPr>
                <w:szCs w:val="26"/>
              </w:rPr>
              <w:t>Текстовая часть, описания</w:t>
            </w:r>
          </w:p>
        </w:tc>
        <w:tc>
          <w:tcPr>
            <w:tcW w:w="3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84" w:leader="none"/>
              </w:tabs>
              <w:spacing w:before="0" w:after="0"/>
              <w:ind w:left="113" w:hanging="0"/>
              <w:jc w:val="center"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 xml:space="preserve">MS Word   </w:t>
            </w:r>
            <w:r>
              <w:rPr>
                <w:szCs w:val="26"/>
              </w:rPr>
              <w:t>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84" w:leader="none"/>
              </w:tabs>
              <w:spacing w:before="0" w:after="0"/>
              <w:ind w:left="113" w:hanging="0"/>
              <w:jc w:val="center"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Adobe Acrobat</w:t>
            </w:r>
          </w:p>
        </w:tc>
        <w:tc>
          <w:tcPr>
            <w:tcW w:w="2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84" w:leader="none"/>
              </w:tabs>
              <w:spacing w:before="0" w:after="0"/>
              <w:ind w:left="113" w:right="113" w:hanging="0"/>
              <w:jc w:val="center"/>
              <w:rPr>
                <w:szCs w:val="26"/>
              </w:rPr>
            </w:pPr>
            <w:r>
              <w:rPr>
                <w:szCs w:val="26"/>
                <w:lang w:val="en-US"/>
              </w:rPr>
              <w:t>.doc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84" w:leader="none"/>
              </w:tabs>
              <w:spacing w:before="0" w:after="0"/>
              <w:ind w:left="113" w:right="113" w:hanging="0"/>
              <w:jc w:val="center"/>
              <w:rPr>
                <w:szCs w:val="26"/>
              </w:rPr>
            </w:pPr>
            <w:r>
              <w:rPr>
                <w:szCs w:val="26"/>
                <w:lang w:val="en-US"/>
              </w:rPr>
              <w:t>.pdf</w:t>
            </w:r>
          </w:p>
        </w:tc>
      </w:tr>
      <w:tr>
        <w:trPr/>
        <w:tc>
          <w:tcPr>
            <w:tcW w:w="31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84" w:leader="none"/>
              </w:tabs>
              <w:spacing w:before="0" w:after="0"/>
              <w:jc w:val="left"/>
              <w:rPr>
                <w:szCs w:val="26"/>
              </w:rPr>
            </w:pPr>
            <w:r>
              <w:rPr>
                <w:szCs w:val="26"/>
              </w:rPr>
              <w:t>Таблицы</w:t>
            </w:r>
          </w:p>
        </w:tc>
        <w:tc>
          <w:tcPr>
            <w:tcW w:w="3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84" w:leader="none"/>
              </w:tabs>
              <w:spacing w:before="0" w:after="0"/>
              <w:ind w:left="113" w:hanging="0"/>
              <w:jc w:val="center"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 xml:space="preserve">MS Excel    </w:t>
            </w:r>
            <w:r>
              <w:rPr>
                <w:szCs w:val="26"/>
              </w:rPr>
              <w:t>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84" w:leader="none"/>
              </w:tabs>
              <w:spacing w:before="0" w:after="0"/>
              <w:ind w:left="113" w:hanging="0"/>
              <w:jc w:val="center"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Adobe Acrobat</w:t>
            </w:r>
          </w:p>
        </w:tc>
        <w:tc>
          <w:tcPr>
            <w:tcW w:w="2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84" w:leader="none"/>
              </w:tabs>
              <w:spacing w:before="0" w:after="0"/>
              <w:ind w:left="113" w:right="113" w:hanging="0"/>
              <w:jc w:val="center"/>
              <w:rPr>
                <w:szCs w:val="26"/>
              </w:rPr>
            </w:pPr>
            <w:r>
              <w:rPr>
                <w:szCs w:val="26"/>
                <w:lang w:val="en-US"/>
              </w:rPr>
              <w:t>.xls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84" w:leader="none"/>
              </w:tabs>
              <w:spacing w:before="0" w:after="0"/>
              <w:ind w:left="113" w:right="113" w:hanging="0"/>
              <w:jc w:val="center"/>
              <w:rPr>
                <w:szCs w:val="26"/>
              </w:rPr>
            </w:pPr>
            <w:r>
              <w:rPr>
                <w:szCs w:val="26"/>
                <w:lang w:val="en-US"/>
              </w:rPr>
              <w:t>.pdf</w:t>
            </w:r>
          </w:p>
        </w:tc>
      </w:tr>
      <w:tr>
        <w:trPr/>
        <w:tc>
          <w:tcPr>
            <w:tcW w:w="31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84" w:leader="none"/>
              </w:tabs>
              <w:spacing w:before="0" w:after="0"/>
              <w:jc w:val="left"/>
              <w:rPr>
                <w:szCs w:val="26"/>
              </w:rPr>
            </w:pPr>
            <w:r>
              <w:rPr>
                <w:szCs w:val="26"/>
              </w:rPr>
              <w:t>Базы данных</w:t>
            </w:r>
          </w:p>
        </w:tc>
        <w:tc>
          <w:tcPr>
            <w:tcW w:w="3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84" w:leader="none"/>
              </w:tabs>
              <w:spacing w:before="0" w:after="0"/>
              <w:ind w:left="113" w:hanging="0"/>
              <w:jc w:val="center"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 xml:space="preserve">MS Excel   </w:t>
            </w:r>
            <w:r>
              <w:rPr>
                <w:szCs w:val="26"/>
              </w:rPr>
              <w:t>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84" w:leader="none"/>
              </w:tabs>
              <w:spacing w:before="0" w:after="0"/>
              <w:ind w:left="113" w:hanging="0"/>
              <w:jc w:val="center"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Adobe Acrobat</w:t>
            </w:r>
          </w:p>
        </w:tc>
        <w:tc>
          <w:tcPr>
            <w:tcW w:w="2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84" w:leader="none"/>
              </w:tabs>
              <w:spacing w:before="0" w:after="0"/>
              <w:ind w:left="113" w:right="113" w:hanging="0"/>
              <w:jc w:val="center"/>
              <w:rPr>
                <w:szCs w:val="26"/>
              </w:rPr>
            </w:pPr>
            <w:r>
              <w:rPr>
                <w:szCs w:val="26"/>
                <w:lang w:val="en-US"/>
              </w:rPr>
              <w:t>.xls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84" w:leader="none"/>
              </w:tabs>
              <w:spacing w:before="0" w:after="0"/>
              <w:ind w:left="113" w:right="113" w:hanging="0"/>
              <w:jc w:val="center"/>
              <w:rPr>
                <w:szCs w:val="26"/>
              </w:rPr>
            </w:pPr>
            <w:r>
              <w:rPr>
                <w:szCs w:val="26"/>
                <w:lang w:val="en-US"/>
              </w:rPr>
              <w:t>.pdf</w:t>
            </w:r>
          </w:p>
        </w:tc>
      </w:tr>
      <w:tr>
        <w:trPr/>
        <w:tc>
          <w:tcPr>
            <w:tcW w:w="31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84" w:leader="none"/>
              </w:tabs>
              <w:spacing w:before="0" w:after="0"/>
              <w:jc w:val="left"/>
              <w:rPr>
                <w:szCs w:val="26"/>
              </w:rPr>
            </w:pPr>
            <w:r>
              <w:rPr>
                <w:szCs w:val="26"/>
              </w:rPr>
              <w:t>Планы, графики</w:t>
            </w:r>
          </w:p>
        </w:tc>
        <w:tc>
          <w:tcPr>
            <w:tcW w:w="3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84" w:leader="none"/>
              </w:tabs>
              <w:spacing w:before="0" w:after="0"/>
              <w:ind w:left="113" w:hanging="0"/>
              <w:jc w:val="center"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 xml:space="preserve">MS Project    </w:t>
            </w:r>
            <w:r>
              <w:rPr>
                <w:szCs w:val="26"/>
              </w:rPr>
              <w:t>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84" w:leader="none"/>
              </w:tabs>
              <w:spacing w:before="0" w:after="0"/>
              <w:ind w:left="113" w:hanging="0"/>
              <w:jc w:val="center"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MS Excel</w:t>
            </w:r>
          </w:p>
        </w:tc>
        <w:tc>
          <w:tcPr>
            <w:tcW w:w="2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84" w:leader="none"/>
              </w:tabs>
              <w:spacing w:before="0" w:after="0"/>
              <w:ind w:left="113" w:right="113" w:hanging="0"/>
              <w:jc w:val="center"/>
              <w:rPr>
                <w:szCs w:val="26"/>
              </w:rPr>
            </w:pPr>
            <w:r>
              <w:rPr>
                <w:szCs w:val="26"/>
                <w:lang w:val="en-US"/>
              </w:rPr>
              <w:t>.mpp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84" w:leader="none"/>
              </w:tabs>
              <w:spacing w:before="0" w:after="0"/>
              <w:ind w:left="113" w:right="113" w:hanging="0"/>
              <w:jc w:val="center"/>
              <w:rPr>
                <w:szCs w:val="26"/>
              </w:rPr>
            </w:pPr>
            <w:r>
              <w:rPr>
                <w:szCs w:val="26"/>
                <w:lang w:val="en-US"/>
              </w:rPr>
              <w:t>.xls</w:t>
            </w:r>
          </w:p>
        </w:tc>
      </w:tr>
      <w:tr>
        <w:trPr/>
        <w:tc>
          <w:tcPr>
            <w:tcW w:w="31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84" w:leader="none"/>
              </w:tabs>
              <w:spacing w:before="0" w:after="0"/>
              <w:jc w:val="left"/>
              <w:rPr>
                <w:szCs w:val="26"/>
              </w:rPr>
            </w:pPr>
            <w:r>
              <w:rPr>
                <w:szCs w:val="26"/>
              </w:rPr>
              <w:t>Чертежи</w:t>
            </w:r>
          </w:p>
        </w:tc>
        <w:tc>
          <w:tcPr>
            <w:tcW w:w="3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84" w:leader="none"/>
              </w:tabs>
              <w:spacing w:before="0" w:after="0"/>
              <w:ind w:left="113" w:hanging="0"/>
              <w:jc w:val="center"/>
              <w:rPr>
                <w:szCs w:val="26"/>
              </w:rPr>
            </w:pPr>
            <w:r>
              <w:rPr>
                <w:szCs w:val="26"/>
                <w:lang w:val="en-US"/>
              </w:rPr>
              <w:t>AutoCAD</w:t>
            </w:r>
            <w:r>
              <w:rPr>
                <w:szCs w:val="26"/>
              </w:rPr>
              <w:t xml:space="preserve">    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84" w:leader="none"/>
              </w:tabs>
              <w:spacing w:before="0" w:after="0"/>
              <w:ind w:left="113" w:hanging="0"/>
              <w:jc w:val="center"/>
              <w:rPr>
                <w:szCs w:val="26"/>
              </w:rPr>
            </w:pPr>
            <w:r>
              <w:rPr>
                <w:szCs w:val="26"/>
                <w:lang w:val="en-US"/>
              </w:rPr>
              <w:t>Adobe Acrobat</w:t>
            </w:r>
          </w:p>
        </w:tc>
        <w:tc>
          <w:tcPr>
            <w:tcW w:w="2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84" w:leader="none"/>
              </w:tabs>
              <w:spacing w:before="0" w:after="0"/>
              <w:ind w:left="113" w:right="113" w:hanging="0"/>
              <w:jc w:val="center"/>
              <w:rPr>
                <w:szCs w:val="26"/>
              </w:rPr>
            </w:pPr>
            <w:r>
              <w:rPr>
                <w:szCs w:val="26"/>
                <w:lang w:val="en-US"/>
              </w:rPr>
              <w:t>.dwg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84" w:leader="none"/>
              </w:tabs>
              <w:spacing w:before="0" w:after="0"/>
              <w:ind w:left="113" w:right="113" w:hanging="0"/>
              <w:jc w:val="center"/>
              <w:rPr>
                <w:szCs w:val="26"/>
              </w:rPr>
            </w:pPr>
            <w:r>
              <w:rPr>
                <w:szCs w:val="26"/>
                <w:lang w:val="en-US"/>
              </w:rPr>
              <w:t>.pdf</w:t>
            </w:r>
          </w:p>
        </w:tc>
      </w:tr>
      <w:tr>
        <w:trPr/>
        <w:tc>
          <w:tcPr>
            <w:tcW w:w="31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84" w:leader="none"/>
              </w:tabs>
              <w:spacing w:before="0" w:after="0"/>
              <w:jc w:val="left"/>
              <w:rPr>
                <w:szCs w:val="26"/>
              </w:rPr>
            </w:pPr>
            <w:r>
              <w:rPr>
                <w:szCs w:val="26"/>
              </w:rPr>
              <w:t>Графический материал</w:t>
            </w:r>
          </w:p>
        </w:tc>
        <w:tc>
          <w:tcPr>
            <w:tcW w:w="3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84" w:leader="none"/>
              </w:tabs>
              <w:spacing w:before="0" w:after="0"/>
              <w:ind w:left="113" w:hanging="0"/>
              <w:jc w:val="center"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 xml:space="preserve">MS Photo Editor    </w:t>
            </w:r>
            <w:r>
              <w:rPr>
                <w:szCs w:val="26"/>
              </w:rPr>
              <w:t>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84" w:leader="none"/>
              </w:tabs>
              <w:spacing w:before="0" w:after="0"/>
              <w:ind w:left="113" w:hanging="0"/>
              <w:jc w:val="center"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Adobe Acrobat</w:t>
            </w:r>
          </w:p>
        </w:tc>
        <w:tc>
          <w:tcPr>
            <w:tcW w:w="2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84" w:leader="none"/>
              </w:tabs>
              <w:spacing w:before="0" w:after="0"/>
              <w:ind w:left="113" w:right="113" w:hanging="0"/>
              <w:jc w:val="center"/>
              <w:rPr>
                <w:szCs w:val="26"/>
              </w:rPr>
            </w:pPr>
            <w:r>
              <w:rPr>
                <w:szCs w:val="26"/>
                <w:lang w:val="en-US"/>
              </w:rPr>
              <w:t>.jpg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84" w:leader="none"/>
              </w:tabs>
              <w:spacing w:before="0" w:after="0"/>
              <w:ind w:left="113" w:right="113" w:hanging="0"/>
              <w:jc w:val="center"/>
              <w:rPr>
                <w:szCs w:val="26"/>
              </w:rPr>
            </w:pPr>
            <w:r>
              <w:rPr>
                <w:szCs w:val="26"/>
                <w:lang w:val="en-US"/>
              </w:rPr>
              <w:t>.pdf</w:t>
            </w:r>
          </w:p>
        </w:tc>
      </w:tr>
      <w:tr>
        <w:trPr/>
        <w:tc>
          <w:tcPr>
            <w:tcW w:w="31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84" w:leader="none"/>
              </w:tabs>
              <w:spacing w:before="0" w:after="0"/>
              <w:jc w:val="left"/>
              <w:rPr>
                <w:szCs w:val="26"/>
              </w:rPr>
            </w:pPr>
            <w:r>
              <w:rPr>
                <w:szCs w:val="26"/>
              </w:rPr>
              <w:t>Электронный архив</w:t>
            </w:r>
          </w:p>
        </w:tc>
        <w:tc>
          <w:tcPr>
            <w:tcW w:w="3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84" w:leader="none"/>
              </w:tabs>
              <w:spacing w:before="0" w:after="0"/>
              <w:ind w:left="113" w:hanging="0"/>
              <w:jc w:val="center"/>
              <w:rPr>
                <w:szCs w:val="26"/>
              </w:rPr>
            </w:pPr>
            <w:r>
              <w:rPr>
                <w:szCs w:val="26"/>
                <w:lang w:val="en-US"/>
              </w:rPr>
              <w:t>WinRar</w:t>
            </w:r>
          </w:p>
        </w:tc>
        <w:tc>
          <w:tcPr>
            <w:tcW w:w="2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84" w:leader="none"/>
              </w:tabs>
              <w:spacing w:before="0" w:after="0"/>
              <w:ind w:left="113" w:right="113" w:hanging="0"/>
              <w:jc w:val="center"/>
              <w:rPr>
                <w:szCs w:val="26"/>
              </w:rPr>
            </w:pPr>
            <w:r>
              <w:rPr>
                <w:szCs w:val="26"/>
                <w:lang w:val="en-US"/>
              </w:rPr>
              <w:t>.rar</w:t>
            </w:r>
            <w:r>
              <w:rPr>
                <w:szCs w:val="26"/>
              </w:rPr>
              <w:t xml:space="preserve"> *</w:t>
            </w:r>
          </w:p>
        </w:tc>
      </w:tr>
      <w:tr>
        <w:trPr/>
        <w:tc>
          <w:tcPr>
            <w:tcW w:w="31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84" w:leader="none"/>
              </w:tabs>
              <w:spacing w:before="0" w:after="0"/>
              <w:jc w:val="left"/>
              <w:rPr>
                <w:szCs w:val="26"/>
              </w:rPr>
            </w:pPr>
            <w:r>
              <w:rPr>
                <w:szCs w:val="26"/>
              </w:rPr>
              <w:t>Сметная документация</w:t>
            </w:r>
          </w:p>
        </w:tc>
        <w:tc>
          <w:tcPr>
            <w:tcW w:w="3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84" w:leader="none"/>
              </w:tabs>
              <w:spacing w:before="0" w:after="0"/>
              <w:ind w:left="113" w:hanging="0"/>
              <w:jc w:val="center"/>
              <w:rPr>
                <w:szCs w:val="26"/>
              </w:rPr>
            </w:pPr>
            <w:r>
              <w:rPr>
                <w:szCs w:val="26"/>
                <w:lang w:val="en-US"/>
              </w:rPr>
              <w:t>MS</w:t>
            </w:r>
            <w:r>
              <w:rPr>
                <w:szCs w:val="26"/>
              </w:rPr>
              <w:t xml:space="preserve"> </w:t>
            </w:r>
            <w:r>
              <w:rPr>
                <w:szCs w:val="26"/>
                <w:lang w:val="en-US"/>
              </w:rPr>
              <w:t>Excel</w:t>
            </w:r>
            <w:r>
              <w:rPr>
                <w:szCs w:val="26"/>
              </w:rPr>
              <w:t xml:space="preserve"> и в формате программы «ГРАНД СМЕТА», позволяющем вести накопительные ведомости по локальным сметам.</w:t>
            </w:r>
          </w:p>
        </w:tc>
        <w:tc>
          <w:tcPr>
            <w:tcW w:w="2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84" w:leader="none"/>
              </w:tabs>
              <w:spacing w:before="0" w:after="0"/>
              <w:ind w:left="113" w:right="113" w:hanging="0"/>
              <w:jc w:val="center"/>
              <w:rPr>
                <w:szCs w:val="26"/>
              </w:rPr>
            </w:pPr>
            <w:r>
              <w:rPr>
                <w:szCs w:val="26"/>
                <w:lang w:val="en-US"/>
              </w:rPr>
              <w:t>.xls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84" w:leader="none"/>
              </w:tabs>
              <w:spacing w:before="0" w:after="0"/>
              <w:ind w:left="113" w:right="113" w:hanging="0"/>
              <w:jc w:val="center"/>
              <w:rPr>
                <w:szCs w:val="26"/>
              </w:rPr>
            </w:pPr>
            <w:r>
              <w:rPr>
                <w:szCs w:val="26"/>
              </w:rPr>
              <w:t>.</w:t>
            </w:r>
            <w:r>
              <w:rPr>
                <w:szCs w:val="26"/>
                <w:lang w:val="en-US"/>
              </w:rPr>
              <w:t>gsf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284" w:leader="none"/>
        </w:tabs>
        <w:spacing w:before="0" w:after="0"/>
        <w:ind w:firstLine="709"/>
        <w:rPr>
          <w:szCs w:val="26"/>
        </w:rPr>
      </w:pPr>
      <w:r>
        <w:rPr>
          <w:szCs w:val="26"/>
        </w:rPr>
        <w:t xml:space="preserve">           </w:t>
      </w:r>
      <w:r>
        <w:rPr>
          <w:szCs w:val="26"/>
        </w:rPr>
        <w:t>*- материалы каждого тома проекта компоновать в одном файле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before="0" w:after="0"/>
        <w:ind w:firstLine="709"/>
        <w:rPr>
          <w:szCs w:val="26"/>
        </w:rPr>
      </w:pPr>
      <w:r>
        <w:rPr>
          <w:szCs w:val="26"/>
        </w:rPr>
      </w:r>
    </w:p>
    <w:p>
      <w:pPr>
        <w:pStyle w:val="ListParagraph"/>
        <w:widowControl w:val="false"/>
        <w:numPr>
          <w:ilvl w:val="1"/>
          <w:numId w:val="6"/>
        </w:numPr>
        <w:tabs>
          <w:tab w:val="clear" w:pos="708"/>
          <w:tab w:val="left" w:pos="284" w:leader="none"/>
        </w:tabs>
        <w:spacing w:before="0" w:after="0"/>
        <w:ind w:left="0" w:firstLine="709"/>
        <w:contextualSpacing/>
        <w:rPr>
          <w:szCs w:val="26"/>
        </w:rPr>
      </w:pPr>
      <w:r>
        <w:rPr>
          <w:szCs w:val="26"/>
        </w:rPr>
        <w:t>Разработанная проектно-сметная документация является собственностью Заказчика и передача её третьим лицам без его согласия запрещается.</w:t>
      </w:r>
    </w:p>
    <w:p>
      <w:pPr>
        <w:pStyle w:val="ListParagraph"/>
        <w:widowControl w:val="false"/>
        <w:numPr>
          <w:ilvl w:val="1"/>
          <w:numId w:val="6"/>
        </w:numPr>
        <w:tabs>
          <w:tab w:val="clear" w:pos="708"/>
          <w:tab w:val="left" w:pos="284" w:leader="none"/>
        </w:tabs>
        <w:spacing w:before="0" w:after="0"/>
        <w:ind w:left="0" w:firstLine="709"/>
        <w:contextualSpacing/>
        <w:rPr>
          <w:szCs w:val="26"/>
        </w:rPr>
      </w:pPr>
      <w:r>
        <w:rPr>
          <w:szCs w:val="26"/>
        </w:rPr>
        <w:t>Исключительные права на разработанную в рамках договора проектно-сметную документацию и на результаты выполнения изыскательских работ принадлежат Заказчику с момента приемки проектно-сметной документации и результата выполнения изыскательских работ. Заказчик вправе использовать разработанную Подрядчиком в рамках договора проектно-сметную документацию и результат выполнения изыскательских работ без согласия Подрядчика в любых целях по усмотрению Заказчика неограниченное число раз. Подрядчик не вправе требовать предоставления права на участие в реализации проекта, предусмотренного документацией.</w:t>
      </w:r>
    </w:p>
    <w:p>
      <w:pPr>
        <w:pStyle w:val="ListParagraph"/>
        <w:widowControl w:val="false"/>
        <w:numPr>
          <w:ilvl w:val="1"/>
          <w:numId w:val="6"/>
        </w:numPr>
        <w:tabs>
          <w:tab w:val="clear" w:pos="708"/>
          <w:tab w:val="left" w:pos="284" w:leader="none"/>
        </w:tabs>
        <w:spacing w:before="0" w:after="0"/>
        <w:ind w:left="0" w:firstLine="709"/>
        <w:contextualSpacing/>
        <w:rPr>
          <w:szCs w:val="26"/>
        </w:rPr>
      </w:pPr>
      <w:r>
        <w:rPr>
          <w:szCs w:val="26"/>
        </w:rPr>
        <w:t>Проектная организация включает в стоимость проектных работ затраты, и осуществляет от лица Заказчика получение по проекту всех необходимых согласований и заключений.</w:t>
      </w:r>
    </w:p>
    <w:p>
      <w:pPr>
        <w:pStyle w:val="ListParagraph"/>
        <w:widowControl w:val="false"/>
        <w:numPr>
          <w:ilvl w:val="1"/>
          <w:numId w:val="6"/>
        </w:numPr>
        <w:tabs>
          <w:tab w:val="clear" w:pos="708"/>
          <w:tab w:val="left" w:pos="284" w:leader="none"/>
        </w:tabs>
        <w:spacing w:before="0" w:after="0"/>
        <w:ind w:left="0" w:firstLine="709"/>
        <w:contextualSpacing/>
        <w:rPr>
          <w:szCs w:val="26"/>
        </w:rPr>
      </w:pPr>
      <w:r>
        <w:rPr>
          <w:szCs w:val="26"/>
        </w:rPr>
        <w:t>Исходные данные, предоставляемые Заказчиком: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59" w:before="0" w:after="0"/>
        <w:ind w:firstLine="709"/>
        <w:rPr>
          <w:szCs w:val="26"/>
        </w:rPr>
      </w:pPr>
      <w:r>
        <w:rPr>
          <w:szCs w:val="26"/>
        </w:rPr>
        <w:t>- месторасположение объекта;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59" w:before="0" w:after="0"/>
        <w:ind w:firstLine="709"/>
        <w:rPr>
          <w:szCs w:val="26"/>
        </w:rPr>
      </w:pPr>
      <w:r>
        <w:rPr>
          <w:szCs w:val="26"/>
        </w:rPr>
        <w:t>- удаленность от железнодорожных станций;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59" w:before="0" w:after="0"/>
        <w:ind w:firstLine="709"/>
        <w:rPr>
          <w:szCs w:val="26"/>
        </w:rPr>
      </w:pPr>
      <w:r>
        <w:rPr>
          <w:szCs w:val="26"/>
        </w:rPr>
        <w:t>- наличие дорог для доставки строительных конструкций и оборудования, людей, техники и т.д.;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59" w:before="0" w:after="0"/>
        <w:ind w:firstLine="709"/>
        <w:rPr>
          <w:szCs w:val="26"/>
        </w:rPr>
      </w:pPr>
      <w:r>
        <w:rPr>
          <w:szCs w:val="26"/>
        </w:rPr>
        <w:t>- расстояние от объекта до карьера поставки ПГС, щебня, песка, грунта;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59" w:before="0" w:after="0"/>
        <w:ind w:firstLine="709"/>
        <w:rPr>
          <w:szCs w:val="26"/>
        </w:rPr>
      </w:pPr>
      <w:r>
        <w:rPr>
          <w:szCs w:val="26"/>
        </w:rPr>
        <w:t>- расстояние до железнодорожного вокзала (такелаж трансформаторов);</w:t>
      </w:r>
    </w:p>
    <w:p>
      <w:pPr>
        <w:pStyle w:val="ListParagraph"/>
        <w:widowControl w:val="false"/>
        <w:numPr>
          <w:ilvl w:val="1"/>
          <w:numId w:val="6"/>
        </w:numPr>
        <w:tabs>
          <w:tab w:val="clear" w:pos="708"/>
          <w:tab w:val="left" w:pos="284" w:leader="none"/>
        </w:tabs>
        <w:spacing w:before="0" w:after="0"/>
        <w:ind w:left="0" w:firstLine="709"/>
        <w:contextualSpacing/>
        <w:rPr>
          <w:szCs w:val="26"/>
        </w:rPr>
      </w:pPr>
      <w:r>
        <w:rPr>
          <w:szCs w:val="26"/>
        </w:rPr>
        <w:t>Проектная организация</w:t>
      </w:r>
      <w:r>
        <w:rPr>
          <w:b/>
          <w:szCs w:val="26"/>
        </w:rPr>
        <w:t xml:space="preserve"> </w:t>
      </w:r>
      <w:r>
        <w:rPr>
          <w:szCs w:val="26"/>
        </w:rPr>
        <w:t xml:space="preserve">обеспечивает согласование разработанной проектно-сметной и рабочей документации с заинтересованными государственными надзорными органами, организациями природопользования и охраны окружающей среды, земле и лесопользователями, эксплуатирующими организациями инженерных коммуникаций и другими заинтересованными организациями. </w:t>
      </w:r>
    </w:p>
    <w:p>
      <w:pPr>
        <w:pStyle w:val="ListParagraph"/>
        <w:widowControl w:val="false"/>
        <w:numPr>
          <w:ilvl w:val="1"/>
          <w:numId w:val="6"/>
        </w:numPr>
        <w:tabs>
          <w:tab w:val="clear" w:pos="708"/>
          <w:tab w:val="left" w:pos="284" w:leader="none"/>
        </w:tabs>
        <w:spacing w:before="0" w:after="0"/>
        <w:ind w:left="0" w:firstLine="709"/>
        <w:contextualSpacing/>
        <w:rPr>
          <w:szCs w:val="26"/>
        </w:rPr>
      </w:pPr>
      <w:r>
        <w:rPr>
          <w:szCs w:val="26"/>
        </w:rPr>
        <w:t xml:space="preserve"> </w:t>
      </w:r>
      <w:r>
        <w:rPr>
          <w:szCs w:val="26"/>
        </w:rPr>
        <w:t>Проектная организация устраняет за свой счет все замечания к проектно-сметной документации, полученные от Заказчика, в течение 7 (семи) рабочих дней после их получения.</w:t>
      </w:r>
    </w:p>
    <w:p>
      <w:pPr>
        <w:pStyle w:val="ListParagraph"/>
        <w:widowControl w:val="false"/>
        <w:numPr>
          <w:ilvl w:val="1"/>
          <w:numId w:val="6"/>
        </w:numPr>
        <w:tabs>
          <w:tab w:val="clear" w:pos="708"/>
          <w:tab w:val="left" w:pos="284" w:leader="none"/>
        </w:tabs>
        <w:spacing w:before="0" w:after="0"/>
        <w:ind w:left="0" w:firstLine="709"/>
        <w:contextualSpacing/>
        <w:rPr>
          <w:szCs w:val="26"/>
        </w:rPr>
      </w:pPr>
      <w:r>
        <w:rPr>
          <w:szCs w:val="26"/>
        </w:rPr>
        <w:t>Не допускается передача документации в формате Portable Document Format (PDF) с пофайловым разделением страниц.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59" w:before="0" w:after="0"/>
        <w:ind w:firstLine="709"/>
        <w:contextualSpacing/>
        <w:rPr>
          <w:szCs w:val="26"/>
        </w:rPr>
      </w:pPr>
      <w:r>
        <w:rPr>
          <w:szCs w:val="26"/>
        </w:rPr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59" w:before="0" w:after="0"/>
        <w:ind w:firstLine="709"/>
        <w:contextualSpacing/>
        <w:rPr>
          <w:b/>
          <w:szCs w:val="26"/>
        </w:rPr>
      </w:pPr>
      <w:r>
        <w:rPr>
          <w:b/>
          <w:szCs w:val="26"/>
        </w:rPr>
        <w:t>6. Заказчик: АО «Дальневосточная распределительная сетевая компания».</w:t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284" w:leader="none"/>
          <w:tab w:val="left" w:pos="989" w:leader="none"/>
        </w:tabs>
        <w:spacing w:lineRule="auto" w:line="259" w:before="0" w:after="0"/>
        <w:ind w:firstLine="709"/>
        <w:contextualSpacing/>
        <w:rPr>
          <w:b/>
          <w:szCs w:val="26"/>
        </w:rPr>
      </w:pPr>
      <w:r>
        <w:rPr>
          <w:b/>
          <w:szCs w:val="26"/>
        </w:rPr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284" w:leader="none"/>
          <w:tab w:val="left" w:pos="989" w:leader="none"/>
        </w:tabs>
        <w:spacing w:lineRule="auto" w:line="259" w:before="0" w:after="0"/>
        <w:ind w:firstLine="709"/>
        <w:contextualSpacing/>
        <w:rPr>
          <w:b/>
          <w:szCs w:val="26"/>
        </w:rPr>
      </w:pPr>
      <w:r>
        <w:rPr>
          <w:b/>
          <w:szCs w:val="26"/>
        </w:rPr>
        <w:t>7.  Срок выполнения проектной и рабочей документации:</w:t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284" w:leader="none"/>
          <w:tab w:val="left" w:pos="989" w:leader="none"/>
        </w:tabs>
        <w:spacing w:lineRule="auto" w:line="259" w:before="0" w:after="0"/>
        <w:ind w:firstLine="709"/>
        <w:contextualSpacing/>
        <w:rPr>
          <w:b/>
          <w:bCs/>
          <w:szCs w:val="26"/>
        </w:rPr>
      </w:pPr>
      <w:r>
        <w:rPr>
          <w:b/>
          <w:bCs/>
          <w:szCs w:val="26"/>
        </w:rPr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284" w:leader="none"/>
          <w:tab w:val="left" w:pos="989" w:leader="none"/>
        </w:tabs>
        <w:spacing w:lineRule="auto" w:line="259" w:before="0" w:after="0"/>
        <w:ind w:firstLine="709"/>
        <w:contextualSpacing/>
        <w:rPr>
          <w:b/>
          <w:bCs/>
          <w:szCs w:val="26"/>
        </w:rPr>
      </w:pPr>
      <w:r>
        <w:rPr>
          <w:b/>
          <w:bCs/>
          <w:color w:val="000000"/>
          <w:szCs w:val="26"/>
          <w:shd w:fill="FFFFFF" w:val="clear"/>
        </w:rPr>
        <w:t xml:space="preserve">I этап – Предпроектное обследование, инженерные изыскания. Работы по оформлению правоустанавливающих, исходно-разрешительных документов на использование земельных участков. </w:t>
      </w:r>
      <w:r>
        <w:rPr>
          <w:i/>
          <w:iCs/>
          <w:color w:val="000000"/>
          <w:szCs w:val="26"/>
          <w:shd w:fill="FFFFFF" w:val="clear"/>
        </w:rPr>
        <w:t>(в течение 120 календарных дней с даты заключения договора на ПИР)</w:t>
      </w:r>
    </w:p>
    <w:p>
      <w:pPr>
        <w:pStyle w:val="Normal"/>
        <w:widowControl w:val="false"/>
        <w:spacing w:before="0" w:after="0"/>
        <w:ind w:right="140" w:firstLine="709"/>
        <w:rPr>
          <w:szCs w:val="26"/>
        </w:rPr>
      </w:pPr>
      <w:r>
        <w:rPr>
          <w:b/>
          <w:bCs/>
          <w:color w:val="000000"/>
          <w:szCs w:val="26"/>
          <w:shd w:fill="FFFFFF" w:val="clear"/>
        </w:rPr>
        <w:t xml:space="preserve">II этап – Разработка проектной документации </w:t>
      </w:r>
      <w:r>
        <w:rPr>
          <w:i/>
          <w:iCs/>
          <w:color w:val="000000"/>
          <w:szCs w:val="26"/>
          <w:shd w:fill="FFFFFF" w:val="clear"/>
        </w:rPr>
        <w:t xml:space="preserve">(в течение 120 календарных дней с даты заключения договора на ПИР), </w:t>
      </w:r>
    </w:p>
    <w:p>
      <w:pPr>
        <w:pStyle w:val="Normal"/>
        <w:widowControl w:val="false"/>
        <w:spacing w:before="0" w:after="0"/>
        <w:ind w:right="140" w:firstLine="709"/>
        <w:rPr>
          <w:szCs w:val="26"/>
        </w:rPr>
      </w:pPr>
      <w:r>
        <w:rPr>
          <w:b/>
          <w:bCs/>
          <w:szCs w:val="26"/>
        </w:rPr>
        <w:t>III этап</w:t>
      </w:r>
      <w:r>
        <w:rPr>
          <w:szCs w:val="26"/>
        </w:rPr>
        <w:t xml:space="preserve"> </w:t>
      </w:r>
      <w:r>
        <w:rPr>
          <w:b/>
          <w:szCs w:val="26"/>
        </w:rPr>
        <w:t xml:space="preserve"> – Разработка рабочей документации</w:t>
      </w:r>
      <w:r>
        <w:rPr>
          <w:i/>
          <w:iCs/>
          <w:szCs w:val="26"/>
        </w:rPr>
        <w:t xml:space="preserve"> (в течение 30 календарных дней после окончания II этапа).</w:t>
      </w:r>
    </w:p>
    <w:p>
      <w:pPr>
        <w:pStyle w:val="Standard"/>
        <w:ind w:firstLine="709"/>
        <w:rPr>
          <w:color w:val="000000"/>
          <w:szCs w:val="26"/>
        </w:rPr>
      </w:pPr>
      <w:r>
        <w:rPr>
          <w:color w:val="000000"/>
          <w:szCs w:val="26"/>
        </w:rPr>
      </w:r>
    </w:p>
    <w:p>
      <w:pPr>
        <w:pStyle w:val="Normal"/>
        <w:tabs>
          <w:tab w:val="clear" w:pos="708"/>
          <w:tab w:val="left" w:pos="284" w:leader="none"/>
        </w:tabs>
        <w:ind w:firstLine="709"/>
        <w:rPr>
          <w:b/>
          <w:szCs w:val="26"/>
        </w:rPr>
      </w:pPr>
      <w:r>
        <w:rPr>
          <w:b/>
          <w:szCs w:val="26"/>
        </w:rPr>
        <w:t>8. Приложение: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284" w:leader="none"/>
        </w:tabs>
        <w:ind w:left="0" w:firstLine="709"/>
        <w:rPr>
          <w:color w:val="000000"/>
          <w:szCs w:val="26"/>
        </w:rPr>
      </w:pPr>
      <w:r>
        <w:rPr>
          <w:color w:val="000000"/>
          <w:szCs w:val="26"/>
        </w:rPr>
        <w:t>Технические условия №ТПр133/24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284" w:leader="none"/>
        </w:tabs>
        <w:ind w:left="0" w:firstLine="709"/>
        <w:rPr>
          <w:color w:val="000000"/>
          <w:szCs w:val="26"/>
        </w:rPr>
      </w:pPr>
      <w:r>
        <w:rPr>
          <w:color w:val="000000"/>
          <w:szCs w:val="26"/>
        </w:rPr>
        <w:t>Ведомость рубки лесных насаждений;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284" w:leader="none"/>
        </w:tabs>
        <w:ind w:left="0" w:firstLine="709"/>
        <w:rPr>
          <w:color w:val="000000"/>
          <w:szCs w:val="26"/>
        </w:rPr>
      </w:pPr>
      <w:r>
        <w:rPr>
          <w:color w:val="000000"/>
          <w:szCs w:val="26"/>
        </w:rPr>
        <w:t>Варианты места размещения (для ЛЭП);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284" w:leader="none"/>
        </w:tabs>
        <w:ind w:left="0" w:firstLine="709"/>
        <w:rPr>
          <w:color w:val="000000"/>
          <w:szCs w:val="26"/>
        </w:rPr>
      </w:pPr>
      <w:r>
        <w:rPr>
          <w:color w:val="000000"/>
          <w:szCs w:val="26"/>
        </w:rPr>
        <w:t>Экспликация земельных участков.</w:t>
      </w:r>
    </w:p>
    <w:p>
      <w:pPr>
        <w:pStyle w:val="ListParagraph"/>
        <w:tabs>
          <w:tab w:val="clear" w:pos="708"/>
          <w:tab w:val="left" w:pos="284" w:leader="none"/>
        </w:tabs>
        <w:ind w:left="0" w:firstLine="709"/>
        <w:jc w:val="center"/>
        <w:rPr>
          <w:b/>
          <w:bCs/>
          <w:color w:val="000000"/>
          <w:szCs w:val="26"/>
        </w:rPr>
      </w:pPr>
      <w:r>
        <w:rPr>
          <w:b/>
          <w:bCs/>
          <w:color w:val="000000"/>
          <w:szCs w:val="26"/>
        </w:rPr>
      </w:r>
    </w:p>
    <w:p>
      <w:pPr>
        <w:pStyle w:val="Normal"/>
        <w:widowControl w:val="false"/>
        <w:spacing w:before="0" w:after="0"/>
        <w:ind w:firstLine="709"/>
        <w:contextualSpacing/>
        <w:jc w:val="center"/>
        <w:rPr>
          <w:b/>
          <w:bCs/>
          <w:color w:val="000000" w:themeColor="text1"/>
          <w:szCs w:val="26"/>
        </w:rPr>
      </w:pPr>
      <w:r>
        <w:rPr>
          <w:b/>
          <w:bCs/>
          <w:color w:val="000000" w:themeColor="text1"/>
          <w:szCs w:val="26"/>
        </w:rPr>
      </w:r>
    </w:p>
    <w:p>
      <w:pPr>
        <w:pStyle w:val="Normal"/>
        <w:widowControl w:val="false"/>
        <w:spacing w:before="0" w:after="0"/>
        <w:ind w:firstLine="709"/>
        <w:contextualSpacing/>
        <w:jc w:val="center"/>
        <w:rPr>
          <w:b/>
          <w:bCs/>
          <w:color w:val="000000" w:themeColor="text1"/>
          <w:szCs w:val="26"/>
        </w:rPr>
      </w:pPr>
      <w:r>
        <w:rPr>
          <w:b/>
          <w:bCs/>
          <w:color w:val="000000" w:themeColor="text1"/>
          <w:szCs w:val="26"/>
        </w:rPr>
      </w:r>
    </w:p>
    <w:p>
      <w:pPr>
        <w:pStyle w:val="Normal"/>
        <w:spacing w:before="0" w:after="0"/>
        <w:ind w:firstLine="1251"/>
        <w:jc w:val="left"/>
        <w:rPr>
          <w:szCs w:val="26"/>
        </w:rPr>
      </w:pPr>
      <w:r>
        <w:rPr/>
      </w:r>
    </w:p>
    <w:sectPr>
      <w:headerReference w:type="default" r:id="rId15"/>
      <w:type w:val="nextPage"/>
      <w:pgSz w:w="11906" w:h="16838"/>
      <w:pgMar w:left="993" w:right="567" w:gutter="0" w:header="709" w:top="1134" w:footer="0" w:bottom="851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libri Light">
    <w:charset w:val="01"/>
    <w:family w:val="roman"/>
    <w:pitch w:val="variable"/>
  </w:font>
  <w:font w:name="Segoe UI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Courier New">
    <w:charset w:val="01"/>
    <w:family w:val="roman"/>
    <w:pitch w:val="variable"/>
  </w:font>
  <w:font w:name="Arial">
    <w:charset w:val="01"/>
    <w:family w:val="roman"/>
    <w:pitch w:val="variable"/>
  </w:font>
  <w:font w:name="TimesNewRomanPSMT"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Lucida Sans">
    <w:charset w:val="01"/>
    <w:family w:val="roman"/>
    <w:pitch w:val="variable"/>
  </w:font>
  <w:font w:name="Helvetica Neue">
    <w:charset w:val="01"/>
    <w:family w:val="roman"/>
    <w:pitch w:val="variable"/>
  </w:font>
  <w:font w:name="Baltica">
    <w:charset w:val="01"/>
    <w:family w:val="roman"/>
    <w:pitch w:val="variable"/>
  </w:font>
  <w:font w:name="Times New Roman CYR">
    <w:charset w:val="01"/>
    <w:family w:val="roman"/>
    <w:pitch w:val="variable"/>
  </w:font>
  <w:font w:name="Symbol">
    <w:charset w:val="02"/>
    <w:family w:val="auto"/>
    <w:pitch w:val="default"/>
  </w:font>
  <w:font w:name="Segoe UI Symbol">
    <w:charset w:val="01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150628722"/>
    </w:sdtPr>
    <w:sdtContent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14</w:t>
        </w:r>
        <w:r>
          <w:rPr/>
          <w:fldChar w:fldCharType="end"/>
        </w:r>
      </w:p>
    </w:sdtContent>
  </w:sdt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360" w:hanging="360"/>
      </w:pPr>
      <w:rPr>
        <w:b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2"/>
      <w:numFmt w:val="decimal"/>
      <w:suff w:val="space"/>
      <w:lvlText w:val="%1."/>
      <w:lvlJc w:val="left"/>
      <w:pPr>
        <w:tabs>
          <w:tab w:val="num" w:pos="0"/>
        </w:tabs>
        <w:ind w:left="1287" w:hanging="360"/>
      </w:pPr>
      <w:rPr>
        <w:sz w:val="25"/>
        <w:i w:val="false"/>
        <w:b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1287" w:hanging="360"/>
      </w:pPr>
      <w:rPr>
        <w:i w:val="false"/>
        <w:b/>
      </w:rPr>
    </w:lvl>
    <w:lvl w:ilvl="2">
      <w:start w:val="4"/>
      <w:numFmt w:val="decimal"/>
      <w:lvlText w:val="%1.%2.%3."/>
      <w:lvlJc w:val="left"/>
      <w:pPr>
        <w:tabs>
          <w:tab w:val="num" w:pos="0"/>
        </w:tabs>
        <w:ind w:left="1647" w:hanging="720"/>
      </w:pPr>
      <w:rPr>
        <w:b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1647" w:hanging="720"/>
      </w:pPr>
      <w:rPr>
        <w:b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2007" w:hanging="1080"/>
      </w:pPr>
      <w:rPr>
        <w:b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007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367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67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27" w:hanging="180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7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 %1.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lowerLetter"/>
      <w:lvlText w:val=" %3)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8">
    <w:lvl w:ilvl="0">
      <w:start w:val="4"/>
      <w:numFmt w:val="decimal"/>
      <w:suff w:val="space"/>
      <w:lvlText w:val="%1."/>
      <w:lvlJc w:val="left"/>
      <w:pPr>
        <w:tabs>
          <w:tab w:val="num" w:pos="0"/>
        </w:tabs>
        <w:ind w:left="1287" w:hanging="360"/>
      </w:pPr>
      <w:rPr>
        <w:sz w:val="25"/>
        <w:i w:val="false"/>
        <w:b/>
      </w:rPr>
    </w:lvl>
    <w:lvl w:ilvl="1">
      <w:start w:val="2"/>
      <w:numFmt w:val="decimal"/>
      <w:suff w:val="space"/>
      <w:lvlText w:val="%1.%2."/>
      <w:lvlJc w:val="left"/>
      <w:pPr>
        <w:tabs>
          <w:tab w:val="num" w:pos="0"/>
        </w:tabs>
        <w:ind w:left="1287" w:hanging="360"/>
      </w:pPr>
      <w:rPr>
        <w:i w:val="false"/>
        <w:b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647" w:hanging="720"/>
      </w:pPr>
      <w:rPr>
        <w:b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1647" w:hanging="720"/>
      </w:pPr>
      <w:rPr>
        <w:b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2007" w:hanging="1080"/>
      </w:pPr>
      <w:rPr>
        <w:b/>
        <w:bCs w:val="false"/>
      </w:r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2007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367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67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27" w:hanging="1800"/>
      </w:pPr>
      <w:rPr/>
    </w:lvl>
  </w:abstractNum>
  <w:abstractNum w:abstractNumId="9">
    <w:lvl w:ilvl="0">
      <w:start w:val="4"/>
      <w:numFmt w:val="decimal"/>
      <w:suff w:val="space"/>
      <w:lvlText w:val="%1."/>
      <w:lvlJc w:val="left"/>
      <w:pPr>
        <w:tabs>
          <w:tab w:val="num" w:pos="0"/>
        </w:tabs>
        <w:ind w:left="1287" w:hanging="360"/>
      </w:pPr>
      <w:rPr>
        <w:sz w:val="25"/>
        <w:i w:val="false"/>
        <w:b/>
      </w:rPr>
    </w:lvl>
    <w:lvl w:ilvl="1">
      <w:start w:val="2"/>
      <w:numFmt w:val="decimal"/>
      <w:suff w:val="space"/>
      <w:lvlText w:val="%1.%2."/>
      <w:lvlJc w:val="left"/>
      <w:pPr>
        <w:tabs>
          <w:tab w:val="num" w:pos="0"/>
        </w:tabs>
        <w:ind w:left="1287" w:hanging="360"/>
      </w:pPr>
      <w:rPr>
        <w:i w:val="false"/>
        <w:b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647" w:hanging="720"/>
      </w:pPr>
      <w:rPr>
        <w:b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1647" w:hanging="720"/>
      </w:pPr>
      <w:rPr>
        <w:b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2007" w:hanging="1080"/>
      </w:pPr>
      <w:rPr>
        <w:b/>
        <w:bCs w:val="false"/>
      </w:rPr>
    </w:lvl>
    <w:lvl w:ilvl="5">
      <w:start w:val="1"/>
      <w:numFmt w:val="bullet"/>
      <w:suff w:val="space"/>
      <w:lvlText w:val="-"/>
      <w:lvlJc w:val="left"/>
      <w:pPr>
        <w:tabs>
          <w:tab w:val="num" w:pos="0"/>
        </w:tabs>
        <w:ind w:left="2007" w:hanging="1080"/>
      </w:pPr>
      <w:rPr>
        <w:rFonts w:ascii="Segoe UI Symbol" w:hAnsi="Segoe UI Symbol" w:cs="Segoe UI Symbol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zCs w:val="24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367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67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27" w:hanging="1800"/>
      </w:pPr>
      <w:rPr/>
    </w:lvl>
  </w:abstractNum>
  <w:abstractNum w:abstractNumId="10">
    <w:lvl w:ilvl="0">
      <w:start w:val="4"/>
      <w:numFmt w:val="decimal"/>
      <w:suff w:val="space"/>
      <w:lvlText w:val="%1."/>
      <w:lvlJc w:val="left"/>
      <w:pPr>
        <w:tabs>
          <w:tab w:val="num" w:pos="0"/>
        </w:tabs>
        <w:ind w:left="1287" w:hanging="360"/>
      </w:pPr>
      <w:rPr>
        <w:sz w:val="25"/>
        <w:i w:val="false"/>
        <w:b/>
      </w:rPr>
    </w:lvl>
    <w:lvl w:ilvl="1">
      <w:start w:val="2"/>
      <w:numFmt w:val="decimal"/>
      <w:suff w:val="space"/>
      <w:lvlText w:val="%1.%2."/>
      <w:lvlJc w:val="left"/>
      <w:pPr>
        <w:tabs>
          <w:tab w:val="num" w:pos="0"/>
        </w:tabs>
        <w:ind w:left="1287" w:hanging="360"/>
      </w:pPr>
      <w:rPr>
        <w:i w:val="false"/>
        <w:b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647" w:hanging="720"/>
      </w:pPr>
      <w:rPr>
        <w:b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1647" w:hanging="720"/>
      </w:pPr>
      <w:rPr>
        <w:b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2007" w:hanging="1080"/>
      </w:pPr>
      <w:rPr>
        <w:b/>
        <w:bCs w:val="false"/>
      </w:rPr>
    </w:lvl>
    <w:lvl w:ilvl="5">
      <w:start w:val="1"/>
      <w:numFmt w:val="bullet"/>
      <w:suff w:val="space"/>
      <w:lvlText w:val="-"/>
      <w:lvlJc w:val="left"/>
      <w:pPr>
        <w:tabs>
          <w:tab w:val="num" w:pos="0"/>
        </w:tabs>
        <w:ind w:left="2007" w:hanging="1080"/>
      </w:pPr>
      <w:rPr>
        <w:rFonts w:ascii="Segoe UI Symbol" w:hAnsi="Segoe UI Symbol" w:cs="Segoe UI Symbol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zCs w:val="24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367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67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27" w:hanging="1800"/>
      </w:pPr>
      <w:rPr/>
    </w:lvl>
  </w:abstractNum>
  <w:abstractNum w:abstractNumId="11">
    <w:lvl w:ilvl="0">
      <w:start w:val="4"/>
      <w:numFmt w:val="decimal"/>
      <w:suff w:val="space"/>
      <w:lvlText w:val="%1."/>
      <w:lvlJc w:val="left"/>
      <w:pPr>
        <w:tabs>
          <w:tab w:val="num" w:pos="0"/>
        </w:tabs>
        <w:ind w:left="1287" w:hanging="360"/>
      </w:pPr>
      <w:rPr>
        <w:sz w:val="25"/>
        <w:i w:val="false"/>
        <w:b/>
      </w:rPr>
    </w:lvl>
    <w:lvl w:ilvl="1">
      <w:start w:val="2"/>
      <w:numFmt w:val="decimal"/>
      <w:suff w:val="space"/>
      <w:lvlText w:val="%1.%2."/>
      <w:lvlJc w:val="left"/>
      <w:pPr>
        <w:tabs>
          <w:tab w:val="num" w:pos="0"/>
        </w:tabs>
        <w:ind w:left="1287" w:hanging="360"/>
      </w:pPr>
      <w:rPr>
        <w:i w:val="false"/>
        <w:b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647" w:hanging="720"/>
      </w:pPr>
      <w:rPr>
        <w:b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1647" w:hanging="720"/>
      </w:pPr>
      <w:rPr>
        <w:b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2007" w:hanging="1080"/>
      </w:pPr>
      <w:rPr>
        <w:b/>
        <w:bCs w:val="false"/>
      </w:rPr>
    </w:lvl>
    <w:lvl w:ilvl="5">
      <w:start w:val="1"/>
      <w:numFmt w:val="bullet"/>
      <w:suff w:val="space"/>
      <w:lvlText w:val="-"/>
      <w:lvlJc w:val="left"/>
      <w:pPr>
        <w:tabs>
          <w:tab w:val="num" w:pos="0"/>
        </w:tabs>
        <w:ind w:left="2007" w:hanging="1080"/>
      </w:pPr>
      <w:rPr>
        <w:rFonts w:ascii="Segoe UI Symbol" w:hAnsi="Segoe UI Symbol" w:cs="Segoe UI Symbol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367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67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27" w:hanging="180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w="http://schemas.openxmlformats.org/wordprocessingml/2006/main">
  <w:zoom w:percent="132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934d74"/>
    <w:pPr>
      <w:widowControl/>
      <w:suppressAutoHyphens w:val="true"/>
      <w:bidi w:val="0"/>
      <w:spacing w:before="60" w:after="0"/>
      <w:jc w:val="both"/>
    </w:pPr>
    <w:rPr>
      <w:rFonts w:ascii="Times New Roman" w:hAnsi="Times New Roman" w:eastAsia="Times New Roman" w:cs="Times New Roman"/>
      <w:color w:val="auto"/>
      <w:kern w:val="0"/>
      <w:sz w:val="26"/>
      <w:szCs w:val="20"/>
      <w:lang w:val="ru-RU" w:eastAsia="ru-RU" w:bidi="ar-SA"/>
    </w:rPr>
  </w:style>
  <w:style w:type="paragraph" w:styleId="Heading1">
    <w:name w:val="Heading 1"/>
    <w:basedOn w:val="Normal"/>
    <w:uiPriority w:val="9"/>
    <w:qFormat/>
    <w:rsid w:val="00093c4f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32"/>
      <w:szCs w:val="32"/>
    </w:rPr>
  </w:style>
  <w:style w:type="paragraph" w:styleId="Heading2">
    <w:name w:val="Heading 2"/>
    <w:basedOn w:val="Normal"/>
    <w:qFormat/>
    <w:pPr>
      <w:numPr>
        <w:ilvl w:val="1"/>
        <w:numId w:val="2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5">
    <w:name w:val="Heading 5"/>
    <w:basedOn w:val="Title"/>
    <w:qFormat/>
    <w:pPr>
      <w:outlineLvl w:val="4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6" w:customStyle="1">
    <w:name w:val="Текст выноски Знак"/>
    <w:basedOn w:val="DefaultParagraphFont"/>
    <w:uiPriority w:val="99"/>
    <w:semiHidden/>
    <w:qFormat/>
    <w:rsid w:val="006a159d"/>
    <w:rPr>
      <w:rFonts w:ascii="Segoe UI" w:hAnsi="Segoe UI" w:eastAsia="Times New Roman" w:cs="Segoe UI"/>
      <w:sz w:val="18"/>
      <w:szCs w:val="18"/>
      <w:lang w:eastAsia="ru-RU"/>
    </w:rPr>
  </w:style>
  <w:style w:type="character" w:styleId="Annotationreference">
    <w:name w:val="annotation reference"/>
    <w:qFormat/>
    <w:rPr>
      <w:sz w:val="16"/>
      <w:szCs w:val="16"/>
    </w:rPr>
  </w:style>
  <w:style w:type="character" w:styleId="Style7" w:customStyle="1">
    <w:name w:val="Текст примечания Знак"/>
    <w:basedOn w:val="DefaultParagraphFont"/>
    <w:semiHidden/>
    <w:qFormat/>
    <w:rsid w:val="009c2f8b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8" w:customStyle="1">
    <w:name w:val="Тема примечания Знак"/>
    <w:basedOn w:val="Style7"/>
    <w:uiPriority w:val="99"/>
    <w:semiHidden/>
    <w:qFormat/>
    <w:rsid w:val="009c2f8b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1" w:customStyle="1">
    <w:name w:val="Заголовок 1 Знак"/>
    <w:basedOn w:val="DefaultParagraphFont"/>
    <w:uiPriority w:val="9"/>
    <w:qFormat/>
    <w:rsid w:val="00093c4f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32"/>
      <w:szCs w:val="32"/>
      <w:lang w:eastAsia="ru-RU"/>
    </w:rPr>
  </w:style>
  <w:style w:type="character" w:styleId="Style9" w:customStyle="1">
    <w:name w:val="Абзац списка Знак"/>
    <w:uiPriority w:val="34"/>
    <w:qFormat/>
    <w:locked/>
    <w:rsid w:val="007f229e"/>
    <w:rPr>
      <w:rFonts w:ascii="Times New Roman" w:hAnsi="Times New Roman" w:eastAsia="Times New Roman" w:cs="Times New Roman"/>
      <w:sz w:val="26"/>
      <w:szCs w:val="20"/>
      <w:lang w:eastAsia="ru-RU"/>
    </w:rPr>
  </w:style>
  <w:style w:type="character" w:styleId="Style10" w:customStyle="1">
    <w:name w:val="Основной текст с отступом Знак"/>
    <w:basedOn w:val="DefaultParagraphFont"/>
    <w:uiPriority w:val="99"/>
    <w:qFormat/>
    <w:rsid w:val="00cf2872"/>
    <w:rPr>
      <w:rFonts w:ascii="Times New Roman" w:hAnsi="Times New Roman" w:eastAsia="Times New Roman" w:cs="Times New Roman"/>
      <w:szCs w:val="20"/>
      <w:lang w:eastAsia="ru-RU"/>
    </w:rPr>
  </w:style>
  <w:style w:type="character" w:styleId="Style11" w:customStyle="1">
    <w:name w:val="Основной текст Знак"/>
    <w:basedOn w:val="DefaultParagraphFont"/>
    <w:uiPriority w:val="99"/>
    <w:semiHidden/>
    <w:qFormat/>
    <w:rsid w:val="008d483b"/>
    <w:rPr>
      <w:rFonts w:ascii="Times New Roman" w:hAnsi="Times New Roman" w:eastAsia="Times New Roman" w:cs="Times New Roman"/>
      <w:sz w:val="26"/>
      <w:szCs w:val="20"/>
      <w:lang w:eastAsia="ru-RU"/>
    </w:rPr>
  </w:style>
  <w:style w:type="character" w:styleId="Hyperlink">
    <w:name w:val="Hyperlink"/>
    <w:rsid w:val="00db547c"/>
    <w:rPr>
      <w:color w:val="0000FF"/>
      <w:u w:val="single"/>
    </w:rPr>
  </w:style>
  <w:style w:type="character" w:styleId="Style12" w:customStyle="1">
    <w:name w:val="Текст сноски Знак"/>
    <w:basedOn w:val="DefaultParagraphFont"/>
    <w:uiPriority w:val="99"/>
    <w:qFormat/>
    <w:rsid w:val="009c4a8d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3" w:customStyle="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Bodytext5" w:customStyle="1">
    <w:name w:val="Body text (5)_"/>
    <w:basedOn w:val="DefaultParagraphFont"/>
    <w:link w:val="Bodytext51"/>
    <w:qFormat/>
    <w:rsid w:val="00635c19"/>
    <w:rPr>
      <w:rFonts w:ascii="Times New Roman" w:hAnsi="Times New Roman" w:eastAsia="Times New Roman" w:cs="Times New Roman"/>
      <w:i/>
      <w:iCs/>
      <w:shd w:fill="FFFFFF" w:val="clear"/>
    </w:rPr>
  </w:style>
  <w:style w:type="character" w:styleId="Bodytext5Exact" w:customStyle="1">
    <w:name w:val="Body text (5) Exact"/>
    <w:basedOn w:val="DefaultParagraphFont"/>
    <w:qFormat/>
    <w:rsid w:val="00635c19"/>
    <w:rPr>
      <w:rFonts w:ascii="Times New Roman" w:hAnsi="Times New Roman" w:eastAsia="Times New Roman" w:cs="Times New Roman"/>
      <w:b w:val="false"/>
      <w:bCs w:val="false"/>
      <w:i/>
      <w:iCs/>
      <w:caps w:val="false"/>
      <w:smallCaps w:val="false"/>
      <w:strike w:val="false"/>
      <w:dstrike w:val="false"/>
      <w:sz w:val="22"/>
      <w:szCs w:val="22"/>
      <w:u w:val="none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5a3898"/>
    <w:rPr>
      <w:rFonts w:ascii="Times New Roman" w:hAnsi="Times New Roman" w:eastAsia="Times New Roman" w:cs="Times New Roman"/>
      <w:sz w:val="26"/>
      <w:szCs w:val="20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5a3898"/>
    <w:rPr>
      <w:rFonts w:ascii="Times New Roman" w:hAnsi="Times New Roman" w:eastAsia="Times New Roman" w:cs="Times New Roman"/>
      <w:sz w:val="26"/>
      <w:szCs w:val="20"/>
      <w:lang w:eastAsia="ru-RU"/>
    </w:rPr>
  </w:style>
  <w:style w:type="character" w:styleId="Style16" w:customStyle="1">
    <w:name w:val="Маркеры"/>
    <w:qFormat/>
    <w:rPr>
      <w:rFonts w:ascii="OpenSymbol" w:hAnsi="OpenSymbol" w:eastAsia="OpenSymbol" w:cs="OpenSymbol"/>
    </w:rPr>
  </w:style>
  <w:style w:type="character" w:styleId="Internetlink" w:customStyle="1">
    <w:name w:val="Internet link"/>
    <w:qFormat/>
    <w:rPr>
      <w:color w:val="0000FF"/>
      <w:u w:val="single"/>
    </w:rPr>
  </w:style>
  <w:style w:type="character" w:styleId="Style17" w:customStyle="1">
    <w:name w:val="Символ нумерации"/>
    <w:qFormat/>
    <w:rPr/>
  </w:style>
  <w:style w:type="character" w:styleId="EndnoteCharacters" w:customStyle="1">
    <w:name w:val="Endnote Characters"/>
    <w:qFormat/>
    <w:rPr>
      <w:vertAlign w:val="superscript"/>
    </w:rPr>
  </w:style>
  <w:style w:type="character" w:styleId="Style18" w:customStyle="1">
    <w:name w:val="Символ концевой сноски"/>
    <w:qFormat/>
    <w:rPr>
      <w:vertAlign w:val="superscript"/>
    </w:rPr>
  </w:style>
  <w:style w:type="character" w:styleId="FootnoteCharacters" w:customStyle="1">
    <w:name w:val="Footnote Characters"/>
    <w:qFormat/>
    <w:rPr>
      <w:vertAlign w:val="superscript"/>
    </w:rPr>
  </w:style>
  <w:style w:type="character" w:styleId="Style19" w:customStyle="1">
    <w:name w:val="Маркеры списка"/>
    <w:qFormat/>
    <w:rPr>
      <w:rFonts w:ascii="OpenSymbol" w:hAnsi="OpenSymbol" w:eastAsia="OpenSymbol" w:cs="OpenSymbol"/>
    </w:rPr>
  </w:style>
  <w:style w:type="character" w:styleId="Footnotereference1" w:customStyle="1">
    <w:name w:val="footnote reference1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WWCharLFO4LVL8" w:customStyle="1">
    <w:name w:val="WW_CharLFO4LVL8"/>
    <w:qFormat/>
    <w:rPr>
      <w:rFonts w:ascii="Courier New" w:hAnsi="Courier New" w:cs="Courier New"/>
    </w:rPr>
  </w:style>
  <w:style w:type="character" w:styleId="WWCharLFO4LVL5" w:customStyle="1">
    <w:name w:val="WW_CharLFO4LVL5"/>
    <w:qFormat/>
    <w:rPr>
      <w:rFonts w:ascii="Courier New" w:hAnsi="Courier New" w:cs="Courier New"/>
    </w:rPr>
  </w:style>
  <w:style w:type="character" w:styleId="WWCharLFO4LVL2" w:customStyle="1">
    <w:name w:val="WW_CharLFO4LVL2"/>
    <w:qFormat/>
    <w:rPr>
      <w:rFonts w:ascii="Times New Roman" w:hAnsi="Times New Roman" w:cs="Times New Roman"/>
    </w:rPr>
  </w:style>
  <w:style w:type="character" w:styleId="Strong">
    <w:name w:val="Strong"/>
    <w:qFormat/>
    <w:rPr>
      <w:b/>
      <w:bCs/>
    </w:rPr>
  </w:style>
  <w:style w:type="character" w:styleId="WW8Num26z4" w:customStyle="1">
    <w:name w:val="WW8Num26z4"/>
    <w:qFormat/>
    <w:rPr/>
  </w:style>
  <w:style w:type="character" w:styleId="WW8Num26z5" w:customStyle="1">
    <w:name w:val="WW8Num26z5"/>
    <w:qFormat/>
    <w:rPr/>
  </w:style>
  <w:style w:type="character" w:styleId="WW8Num26z6" w:customStyle="1">
    <w:name w:val="WW8Num26z6"/>
    <w:qFormat/>
    <w:rPr/>
  </w:style>
  <w:style w:type="character" w:styleId="WW8Num26z7" w:customStyle="1">
    <w:name w:val="WW8Num26z7"/>
    <w:qFormat/>
    <w:rPr/>
  </w:style>
  <w:style w:type="character" w:styleId="WW8Num26z8" w:customStyle="1">
    <w:name w:val="WW8Num26z8"/>
    <w:qFormat/>
    <w:rPr/>
  </w:style>
  <w:style w:type="character" w:styleId="WW8Num30z4" w:customStyle="1">
    <w:name w:val="WW8Num30z4"/>
    <w:qFormat/>
    <w:rPr/>
  </w:style>
  <w:style w:type="character" w:styleId="WW8Num30z5" w:customStyle="1">
    <w:name w:val="WW8Num30z5"/>
    <w:qFormat/>
    <w:rPr/>
  </w:style>
  <w:style w:type="character" w:styleId="WW8Num30z6" w:customStyle="1">
    <w:name w:val="WW8Num30z6"/>
    <w:qFormat/>
    <w:rPr/>
  </w:style>
  <w:style w:type="character" w:styleId="WW8Num30z7" w:customStyle="1">
    <w:name w:val="WW8Num30z7"/>
    <w:qFormat/>
    <w:rPr/>
  </w:style>
  <w:style w:type="character" w:styleId="WW8Num30z8" w:customStyle="1">
    <w:name w:val="WW8Num30z8"/>
    <w:qFormat/>
    <w:rPr/>
  </w:style>
  <w:style w:type="character" w:styleId="WW8Num31z4" w:customStyle="1">
    <w:name w:val="WW8Num31z4"/>
    <w:qFormat/>
    <w:rPr/>
  </w:style>
  <w:style w:type="character" w:styleId="WW8Num31z5" w:customStyle="1">
    <w:name w:val="WW8Num31z5"/>
    <w:qFormat/>
    <w:rPr/>
  </w:style>
  <w:style w:type="character" w:styleId="WW8Num31z6" w:customStyle="1">
    <w:name w:val="WW8Num31z6"/>
    <w:qFormat/>
    <w:rPr/>
  </w:style>
  <w:style w:type="character" w:styleId="WW8Num31z8" w:customStyle="1">
    <w:name w:val="WW8Num31z8"/>
    <w:qFormat/>
    <w:rPr/>
  </w:style>
  <w:style w:type="character" w:styleId="11" w:customStyle="1">
    <w:name w:val="ЗАГ 1 Знак"/>
    <w:qFormat/>
    <w:rPr>
      <w:rFonts w:ascii="Arial" w:hAnsi="Arial" w:eastAsia="Times New Roman" w:cs="Arial"/>
      <w:b/>
      <w:bCs/>
      <w:color w:val="000000"/>
      <w:sz w:val="32"/>
      <w:szCs w:val="32"/>
    </w:rPr>
  </w:style>
  <w:style w:type="character" w:styleId="2" w:customStyle="1">
    <w:name w:val="ЗАГ 2 Знак"/>
    <w:qFormat/>
    <w:rPr>
      <w:rFonts w:ascii="Times New Roman" w:hAnsi="Times New Roman" w:eastAsia="Times New Roman" w:cs="Times New Roman"/>
      <w:b/>
      <w:color w:val="000000"/>
      <w:sz w:val="26"/>
    </w:rPr>
  </w:style>
  <w:style w:type="character" w:styleId="Style20" w:customStyle="1">
    <w:name w:val="Прилож Знак"/>
    <w:qFormat/>
    <w:rPr>
      <w:b/>
      <w:sz w:val="24"/>
    </w:rPr>
  </w:style>
  <w:style w:type="character" w:styleId="Fontstyle01" w:customStyle="1">
    <w:name w:val="fontstyle01"/>
    <w:qFormat/>
    <w:rPr>
      <w:rFonts w:ascii="TimesNewRomanPSMT" w:hAnsi="TimesNewRomanPSMT" w:cs="TimesNewRomanPSMT"/>
      <w:b w:val="false"/>
      <w:bCs w:val="false"/>
      <w:i w:val="false"/>
      <w:iCs w:val="false"/>
      <w:color w:val="000000"/>
      <w:sz w:val="24"/>
      <w:szCs w:val="24"/>
    </w:rPr>
  </w:style>
  <w:style w:type="character" w:styleId="WW8Num13z6" w:customStyle="1">
    <w:name w:val="WW8Num13z6"/>
    <w:qFormat/>
    <w:rPr/>
  </w:style>
  <w:style w:type="character" w:styleId="WW8Num13z7" w:customStyle="1">
    <w:name w:val="WW8Num13z7"/>
    <w:qFormat/>
    <w:rPr/>
  </w:style>
  <w:style w:type="character" w:styleId="WW8Num13z8" w:customStyle="1">
    <w:name w:val="WW8Num13z8"/>
    <w:qFormat/>
    <w:rPr/>
  </w:style>
  <w:style w:type="character" w:styleId="WW8Num20z4" w:customStyle="1">
    <w:name w:val="WW8Num20z4"/>
    <w:qFormat/>
    <w:rPr/>
  </w:style>
  <w:style w:type="character" w:styleId="WW8Num20z5" w:customStyle="1">
    <w:name w:val="WW8Num20z5"/>
    <w:qFormat/>
    <w:rPr/>
  </w:style>
  <w:style w:type="character" w:styleId="WW8Num20z6" w:customStyle="1">
    <w:name w:val="WW8Num20z6"/>
    <w:qFormat/>
    <w:rPr/>
  </w:style>
  <w:style w:type="character" w:styleId="WW8Num20z7" w:customStyle="1">
    <w:name w:val="WW8Num20z7"/>
    <w:qFormat/>
    <w:rPr/>
  </w:style>
  <w:style w:type="character" w:styleId="WW8Num20z8" w:customStyle="1">
    <w:name w:val="WW8Num20z8"/>
    <w:qFormat/>
    <w:rPr/>
  </w:style>
  <w:style w:type="character" w:styleId="WW8Num21z4" w:customStyle="1">
    <w:name w:val="WW8Num21z4"/>
    <w:qFormat/>
    <w:rPr/>
  </w:style>
  <w:style w:type="character" w:styleId="WW8Num21z5" w:customStyle="1">
    <w:name w:val="WW8Num21z5"/>
    <w:qFormat/>
    <w:rPr/>
  </w:style>
  <w:style w:type="character" w:styleId="WW8Num21z6" w:customStyle="1">
    <w:name w:val="WW8Num21z6"/>
    <w:qFormat/>
    <w:rPr/>
  </w:style>
  <w:style w:type="character" w:styleId="WW8Num21z7" w:customStyle="1">
    <w:name w:val="WW8Num21z7"/>
    <w:qFormat/>
    <w:rPr/>
  </w:style>
  <w:style w:type="character" w:styleId="WW8Num21z8" w:customStyle="1">
    <w:name w:val="WW8Num21z8"/>
    <w:qFormat/>
    <w:rPr/>
  </w:style>
  <w:style w:type="character" w:styleId="WW8Num8z3" w:customStyle="1">
    <w:name w:val="WW8Num8z3"/>
    <w:qFormat/>
    <w:rPr/>
  </w:style>
  <w:style w:type="character" w:styleId="WW8Num8z4" w:customStyle="1">
    <w:name w:val="WW8Num8z4"/>
    <w:qFormat/>
    <w:rPr/>
  </w:style>
  <w:style w:type="character" w:styleId="WW8Num8z5" w:customStyle="1">
    <w:name w:val="WW8Num8z5"/>
    <w:qFormat/>
    <w:rPr/>
  </w:style>
  <w:style w:type="character" w:styleId="WW8Num8z6" w:customStyle="1">
    <w:name w:val="WW8Num8z6"/>
    <w:qFormat/>
    <w:rPr/>
  </w:style>
  <w:style w:type="character" w:styleId="WW8Num8z7" w:customStyle="1">
    <w:name w:val="WW8Num8z7"/>
    <w:qFormat/>
    <w:rPr/>
  </w:style>
  <w:style w:type="character" w:styleId="WW8Num8z8" w:customStyle="1">
    <w:name w:val="WW8Num8z8"/>
    <w:qFormat/>
    <w:rPr/>
  </w:style>
  <w:style w:type="character" w:styleId="WW8Num12z4" w:customStyle="1">
    <w:name w:val="WW8Num12z4"/>
    <w:qFormat/>
    <w:rPr/>
  </w:style>
  <w:style w:type="character" w:styleId="WW8Num12z5" w:customStyle="1">
    <w:name w:val="WW8Num12z5"/>
    <w:qFormat/>
    <w:rPr/>
  </w:style>
  <w:style w:type="character" w:styleId="WW8Num12z6" w:customStyle="1">
    <w:name w:val="WW8Num12z6"/>
    <w:qFormat/>
    <w:rPr/>
  </w:style>
  <w:style w:type="character" w:styleId="WW8Num12z7" w:customStyle="1">
    <w:name w:val="WW8Num12z7"/>
    <w:qFormat/>
    <w:rPr/>
  </w:style>
  <w:style w:type="character" w:styleId="WW8Num12z8" w:customStyle="1">
    <w:name w:val="WW8Num12z8"/>
    <w:qFormat/>
    <w:rPr/>
  </w:style>
  <w:style w:type="character" w:styleId="WW8Num16z3" w:customStyle="1">
    <w:name w:val="WW8Num16z3"/>
    <w:qFormat/>
    <w:rPr/>
  </w:style>
  <w:style w:type="character" w:styleId="WW8Num16z4" w:customStyle="1">
    <w:name w:val="WW8Num16z4"/>
    <w:qFormat/>
    <w:rPr/>
  </w:style>
  <w:style w:type="character" w:styleId="WW8Num16z5" w:customStyle="1">
    <w:name w:val="WW8Num16z5"/>
    <w:qFormat/>
    <w:rPr/>
  </w:style>
  <w:style w:type="character" w:styleId="WW8Num16z6" w:customStyle="1">
    <w:name w:val="WW8Num16z6"/>
    <w:qFormat/>
    <w:rPr/>
  </w:style>
  <w:style w:type="character" w:styleId="WW8Num16z7" w:customStyle="1">
    <w:name w:val="WW8Num16z7"/>
    <w:qFormat/>
    <w:rPr/>
  </w:style>
  <w:style w:type="character" w:styleId="WW8Num16z8" w:customStyle="1">
    <w:name w:val="WW8Num16z8"/>
    <w:qFormat/>
    <w:rPr/>
  </w:style>
  <w:style w:type="character" w:styleId="WW8Num17z5" w:customStyle="1">
    <w:name w:val="WW8Num17z5"/>
    <w:qFormat/>
    <w:rPr/>
  </w:style>
  <w:style w:type="character" w:styleId="WW8Num17z6" w:customStyle="1">
    <w:name w:val="WW8Num17z6"/>
    <w:qFormat/>
    <w:rPr/>
  </w:style>
  <w:style w:type="character" w:styleId="WW8Num17z7" w:customStyle="1">
    <w:name w:val="WW8Num17z7"/>
    <w:qFormat/>
    <w:rPr/>
  </w:style>
  <w:style w:type="character" w:styleId="WW8Num17z8" w:customStyle="1">
    <w:name w:val="WW8Num17z8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3z3" w:customStyle="1">
    <w:name w:val="WW8Num3z3"/>
    <w:qFormat/>
    <w:rPr/>
  </w:style>
  <w:style w:type="character" w:styleId="WW8Num3z4" w:customStyle="1">
    <w:name w:val="WW8Num3z4"/>
    <w:qFormat/>
    <w:rPr/>
  </w:style>
  <w:style w:type="character" w:styleId="WW8Num3z5" w:customStyle="1">
    <w:name w:val="WW8Num3z5"/>
    <w:qFormat/>
    <w:rPr/>
  </w:style>
  <w:style w:type="character" w:styleId="WW8Num3z6" w:customStyle="1">
    <w:name w:val="WW8Num3z6"/>
    <w:qFormat/>
    <w:rPr/>
  </w:style>
  <w:style w:type="character" w:styleId="WW8Num3z7" w:customStyle="1">
    <w:name w:val="WW8Num3z7"/>
    <w:qFormat/>
    <w:rPr/>
  </w:style>
  <w:style w:type="character" w:styleId="WW8Num3z8" w:customStyle="1">
    <w:name w:val="WW8Num3z8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5z4" w:customStyle="1">
    <w:name w:val="WW8Num5z4"/>
    <w:qFormat/>
    <w:rPr/>
  </w:style>
  <w:style w:type="character" w:styleId="WW8Num5z5" w:customStyle="1">
    <w:name w:val="WW8Num5z5"/>
    <w:qFormat/>
    <w:rPr/>
  </w:style>
  <w:style w:type="character" w:styleId="WW8Num5z6" w:customStyle="1">
    <w:name w:val="WW8Num5z6"/>
    <w:qFormat/>
    <w:rPr/>
  </w:style>
  <w:style w:type="character" w:styleId="WW8Num5z7" w:customStyle="1">
    <w:name w:val="WW8Num5z7"/>
    <w:qFormat/>
    <w:rPr/>
  </w:style>
  <w:style w:type="character" w:styleId="WW8Num5z8" w:customStyle="1">
    <w:name w:val="WW8Num5z8"/>
    <w:qFormat/>
    <w:rPr/>
  </w:style>
  <w:style w:type="character" w:styleId="WW8Num6z4" w:customStyle="1">
    <w:name w:val="WW8Num6z4"/>
    <w:qFormat/>
    <w:rPr/>
  </w:style>
  <w:style w:type="character" w:styleId="WW8Num6z5" w:customStyle="1">
    <w:name w:val="WW8Num6z5"/>
    <w:qFormat/>
    <w:rPr/>
  </w:style>
  <w:style w:type="character" w:styleId="WW8Num6z6" w:customStyle="1">
    <w:name w:val="WW8Num6z6"/>
    <w:qFormat/>
    <w:rPr/>
  </w:style>
  <w:style w:type="character" w:styleId="WW8Num6z7" w:customStyle="1">
    <w:name w:val="WW8Num6z7"/>
    <w:qFormat/>
    <w:rPr/>
  </w:style>
  <w:style w:type="character" w:styleId="WW8Num6z8" w:customStyle="1">
    <w:name w:val="WW8Num6z8"/>
    <w:qFormat/>
    <w:rPr/>
  </w:style>
  <w:style w:type="character" w:styleId="WW8Num7z3" w:customStyle="1">
    <w:name w:val="WW8Num7z3"/>
    <w:qFormat/>
    <w:rPr/>
  </w:style>
  <w:style w:type="character" w:styleId="WW8Num7z4" w:customStyle="1">
    <w:name w:val="WW8Num7z4"/>
    <w:qFormat/>
    <w:rPr/>
  </w:style>
  <w:style w:type="character" w:styleId="WW8Num7z5" w:customStyle="1">
    <w:name w:val="WW8Num7z5"/>
    <w:qFormat/>
    <w:rPr/>
  </w:style>
  <w:style w:type="character" w:styleId="WW8Num7z6" w:customStyle="1">
    <w:name w:val="WW8Num7z6"/>
    <w:qFormat/>
    <w:rPr/>
  </w:style>
  <w:style w:type="character" w:styleId="WW8Num7z7" w:customStyle="1">
    <w:name w:val="WW8Num7z7"/>
    <w:qFormat/>
    <w:rPr/>
  </w:style>
  <w:style w:type="character" w:styleId="WW8Num7z8" w:customStyle="1">
    <w:name w:val="WW8Num7z8"/>
    <w:qFormat/>
    <w:rPr/>
  </w:style>
  <w:style w:type="character" w:styleId="Style21" w:customStyle="1">
    <w:name w:val="Текст Знак"/>
    <w:qFormat/>
    <w:rPr>
      <w:rFonts w:ascii="Courier New" w:hAnsi="Courier New" w:cs="Courier New"/>
    </w:rPr>
  </w:style>
  <w:style w:type="character" w:styleId="Style22" w:customStyle="1">
    <w:name w:val="комментарий"/>
    <w:qFormat/>
    <w:rPr>
      <w:b/>
      <w:i/>
      <w:shd w:fill="FFFF99" w:val="clear"/>
    </w:rPr>
  </w:style>
  <w:style w:type="character" w:styleId="Strong1" w:customStyle="1">
    <w:name w:val="Strong1"/>
    <w:qFormat/>
    <w:rPr>
      <w:b/>
      <w:bCs/>
    </w:rPr>
  </w:style>
  <w:style w:type="character" w:styleId="VisitedInternetLink" w:customStyle="1">
    <w:name w:val="Visited Internet Link"/>
    <w:qFormat/>
    <w:rPr>
      <w:color w:val="954F72"/>
      <w:u w:val="single"/>
    </w:rPr>
  </w:style>
  <w:style w:type="character" w:styleId="Style23" w:customStyle="1">
    <w:name w:val="ПРЛ Знак"/>
    <w:qFormat/>
    <w:rPr>
      <w:b/>
      <w:sz w:val="26"/>
      <w:szCs w:val="26"/>
    </w:rPr>
  </w:style>
  <w:style w:type="character" w:styleId="21" w:customStyle="1">
    <w:name w:val="Заголовок 2.1 Знак"/>
    <w:qFormat/>
    <w:rPr>
      <w:b/>
      <w:color w:val="000000"/>
      <w:sz w:val="26"/>
      <w:szCs w:val="24"/>
      <w:shd w:fill="FFFFFF" w:val="clear"/>
    </w:rPr>
  </w:style>
  <w:style w:type="character" w:styleId="Style24" w:customStyle="1">
    <w:name w:val="Заголовок Знак"/>
    <w:qFormat/>
    <w:rPr>
      <w:b/>
      <w:bCs/>
      <w:color w:val="000000"/>
      <w:spacing w:val="3"/>
      <w:sz w:val="24"/>
      <w:szCs w:val="24"/>
      <w:shd w:fill="FFFFFF" w:val="clear"/>
    </w:rPr>
  </w:style>
  <w:style w:type="character" w:styleId="Style25" w:customStyle="1">
    <w:name w:val="Схема документа Знак"/>
    <w:qFormat/>
    <w:rPr>
      <w:rFonts w:ascii="Tahoma" w:hAnsi="Tahoma" w:cs="Tahoma"/>
      <w:shd w:fill="000080" w:val="clear"/>
    </w:rPr>
  </w:style>
  <w:style w:type="character" w:styleId="HTML" w:customStyle="1">
    <w:name w:val="Стандартный HTML Знак"/>
    <w:qFormat/>
    <w:rPr>
      <w:rFonts w:ascii="Arial Unicode MS" w:hAnsi="Arial Unicode MS" w:eastAsia="Arial Unicode MS" w:cs="Arial Unicode MS"/>
    </w:rPr>
  </w:style>
  <w:style w:type="character" w:styleId="Style26" w:customStyle="1">
    <w:name w:val="Шапка Знак"/>
    <w:qFormat/>
    <w:rPr>
      <w:caps/>
      <w:sz w:val="18"/>
      <w:szCs w:val="24"/>
    </w:rPr>
  </w:style>
  <w:style w:type="character" w:styleId="9" w:customStyle="1">
    <w:name w:val="Заголовок 9 Знак"/>
    <w:qFormat/>
    <w:rPr>
      <w:rFonts w:ascii="Arial" w:hAnsi="Arial" w:cs="Arial"/>
      <w:sz w:val="22"/>
      <w:szCs w:val="22"/>
    </w:rPr>
  </w:style>
  <w:style w:type="character" w:styleId="8" w:customStyle="1">
    <w:name w:val="Заголовок 8 Знак"/>
    <w:qFormat/>
    <w:rPr>
      <w:i/>
      <w:iCs/>
      <w:sz w:val="24"/>
      <w:szCs w:val="24"/>
    </w:rPr>
  </w:style>
  <w:style w:type="character" w:styleId="7" w:customStyle="1">
    <w:name w:val="Заголовок 7 Знак"/>
    <w:qFormat/>
    <w:rPr>
      <w:b/>
      <w:sz w:val="24"/>
    </w:rPr>
  </w:style>
  <w:style w:type="character" w:styleId="6" w:customStyle="1">
    <w:name w:val="Заголовок 6 Знак"/>
    <w:qFormat/>
    <w:rPr>
      <w:b/>
      <w:bCs/>
      <w:sz w:val="22"/>
      <w:szCs w:val="22"/>
    </w:rPr>
  </w:style>
  <w:style w:type="character" w:styleId="5" w:customStyle="1">
    <w:name w:val="Заголовок 5 Знак"/>
    <w:qFormat/>
    <w:rPr>
      <w:b/>
      <w:bCs/>
      <w:i/>
      <w:iCs/>
      <w:sz w:val="26"/>
      <w:szCs w:val="26"/>
    </w:rPr>
  </w:style>
  <w:style w:type="character" w:styleId="4" w:customStyle="1">
    <w:name w:val="Заголовок 4 Знак"/>
    <w:qFormat/>
    <w:rPr>
      <w:b/>
      <w:bCs/>
      <w:sz w:val="28"/>
      <w:szCs w:val="28"/>
    </w:rPr>
  </w:style>
  <w:style w:type="character" w:styleId="Bodytext2" w:customStyle="1">
    <w:name w:val="Body text (2)_"/>
    <w:qFormat/>
    <w:rPr>
      <w:shd w:fill="FFFFFF" w:val="clear"/>
    </w:rPr>
  </w:style>
  <w:style w:type="character" w:styleId="FontStyle22" w:customStyle="1">
    <w:name w:val="Font Style22"/>
    <w:qFormat/>
    <w:rPr>
      <w:rFonts w:ascii="Times New Roman" w:hAnsi="Times New Roman" w:cs="Times New Roman"/>
      <w:b/>
      <w:bCs/>
      <w:sz w:val="30"/>
      <w:szCs w:val="30"/>
    </w:rPr>
  </w:style>
  <w:style w:type="character" w:styleId="Style27" w:customStyle="1">
    <w:name w:val="Заголовок для содержания Знак"/>
    <w:qFormat/>
    <w:rPr>
      <w:rFonts w:ascii="Arial" w:hAnsi="Arial" w:eastAsia="Times New Roman" w:cs="Arial"/>
      <w:b/>
      <w:bCs/>
      <w:color w:val="000000"/>
      <w:sz w:val="32"/>
      <w:szCs w:val="32"/>
    </w:rPr>
  </w:style>
  <w:style w:type="character" w:styleId="12" w:customStyle="1">
    <w:name w:val="=Заголовок 1 Знак"/>
    <w:qFormat/>
    <w:rPr>
      <w:rFonts w:ascii="Arial" w:hAnsi="Arial" w:eastAsia="Times New Roman" w:cs="Arial"/>
      <w:b/>
      <w:bCs/>
      <w:color w:val="000000"/>
      <w:sz w:val="32"/>
      <w:szCs w:val="32"/>
    </w:rPr>
  </w:style>
  <w:style w:type="character" w:styleId="111" w:customStyle="1">
    <w:name w:val="Заголовок 1 Знак1"/>
    <w:qFormat/>
    <w:rPr>
      <w:rFonts w:ascii="Arial" w:hAnsi="Arial" w:cs="Arial"/>
      <w:b/>
      <w:bCs/>
      <w:kern w:val="2"/>
      <w:sz w:val="32"/>
      <w:szCs w:val="32"/>
    </w:rPr>
  </w:style>
  <w:style w:type="character" w:styleId="Style28" w:customStyle="1">
    <w:name w:val="Приложение для содержания Знак"/>
    <w:qFormat/>
    <w:rPr>
      <w:b/>
      <w:color w:val="000000"/>
      <w:sz w:val="26"/>
      <w:szCs w:val="24"/>
      <w:shd w:fill="FFFFFF" w:val="clear"/>
    </w:rPr>
  </w:style>
  <w:style w:type="character" w:styleId="13" w:customStyle="1">
    <w:name w:val="Заголовок 1 для содержания Знак"/>
    <w:qFormat/>
    <w:rPr>
      <w:rFonts w:ascii="Times New Roman" w:hAnsi="Times New Roman" w:eastAsia="Times New Roman" w:cs="Times New Roman"/>
      <w:b/>
      <w:color w:val="000000"/>
      <w:sz w:val="26"/>
    </w:rPr>
  </w:style>
  <w:style w:type="character" w:styleId="14" w:customStyle="1">
    <w:name w:val="Заголовок №1_"/>
    <w:qFormat/>
    <w:rPr>
      <w:b/>
      <w:bCs/>
      <w:sz w:val="23"/>
      <w:szCs w:val="23"/>
      <w:shd w:fill="FFFFFF" w:val="clear"/>
    </w:rPr>
  </w:style>
  <w:style w:type="character" w:styleId="3" w:customStyle="1">
    <w:name w:val="Основной текст 3 Знак"/>
    <w:qFormat/>
    <w:rPr>
      <w:sz w:val="16"/>
      <w:szCs w:val="16"/>
    </w:rPr>
  </w:style>
  <w:style w:type="character" w:styleId="31" w:customStyle="1">
    <w:name w:val="Основной текст с отступом 3 Знак"/>
    <w:qFormat/>
    <w:rPr>
      <w:sz w:val="28"/>
    </w:rPr>
  </w:style>
  <w:style w:type="character" w:styleId="32" w:customStyle="1">
    <w:name w:val="Заголовок 3 Знак"/>
    <w:qFormat/>
    <w:rPr>
      <w:bCs/>
      <w:sz w:val="24"/>
      <w:szCs w:val="24"/>
    </w:rPr>
  </w:style>
  <w:style w:type="character" w:styleId="22" w:customStyle="1">
    <w:name w:val="Заголовок 2 Знак"/>
    <w:qFormat/>
    <w:rPr>
      <w:b/>
      <w:sz w:val="24"/>
    </w:rPr>
  </w:style>
  <w:style w:type="character" w:styleId="Postbody1" w:customStyle="1">
    <w:name w:val="postbody1"/>
    <w:qFormat/>
    <w:rPr>
      <w:sz w:val="18"/>
      <w:szCs w:val="18"/>
    </w:rPr>
  </w:style>
  <w:style w:type="character" w:styleId="FootnoteSymbol" w:customStyle="1">
    <w:name w:val="Footnote Symbol"/>
    <w:qFormat/>
    <w:rPr>
      <w:vertAlign w:val="superscript"/>
    </w:rPr>
  </w:style>
  <w:style w:type="character" w:styleId="Style29" w:customStyle="1">
    <w:name w:val="=Рисунок Знак Знак"/>
    <w:qFormat/>
    <w:rPr>
      <w:color w:val="000000"/>
      <w:sz w:val="26"/>
      <w:szCs w:val="26"/>
    </w:rPr>
  </w:style>
  <w:style w:type="character" w:styleId="Style30" w:customStyle="1">
    <w:name w:val="= Пункты Знак"/>
    <w:qFormat/>
    <w:rPr>
      <w:rFonts w:cs="TimesNewRomanPSMT"/>
      <w:bCs/>
      <w:iCs/>
      <w:sz w:val="26"/>
      <w:szCs w:val="26"/>
      <w:lang w:val="ru-RU" w:bidi="ar-SA"/>
    </w:rPr>
  </w:style>
  <w:style w:type="character" w:styleId="23" w:customStyle="1">
    <w:name w:val="= Заголовок 2 = Знак Знак"/>
    <w:qFormat/>
    <w:rPr>
      <w:b/>
      <w:color w:val="000000"/>
      <w:sz w:val="26"/>
      <w:szCs w:val="24"/>
    </w:rPr>
  </w:style>
  <w:style w:type="character" w:styleId="Word" w:customStyle="1">
    <w:name w:val="word"/>
    <w:qFormat/>
    <w:rPr>
      <w:b/>
      <w:bCs/>
      <w:i/>
      <w:iCs/>
      <w:color w:val="1D1D1D"/>
    </w:rPr>
  </w:style>
  <w:style w:type="character" w:styleId="Letter" w:customStyle="1">
    <w:name w:val="letter"/>
    <w:qFormat/>
    <w:rPr>
      <w:b/>
      <w:bCs/>
      <w:i w:val="false"/>
      <w:iCs w:val="false"/>
      <w:color w:val="F24220"/>
    </w:rPr>
  </w:style>
  <w:style w:type="character" w:styleId="Acicollapsed1" w:customStyle="1">
    <w:name w:val="acicollapsed1"/>
    <w:qFormat/>
    <w:rPr>
      <w:vanish/>
    </w:rPr>
  </w:style>
  <w:style w:type="character" w:styleId="Style31" w:customStyle="1">
    <w:name w:val="Знак Знак"/>
    <w:qFormat/>
    <w:rPr>
      <w:sz w:val="22"/>
      <w:lang w:val="ru-RU" w:bidi="ar-SA"/>
    </w:rPr>
  </w:style>
  <w:style w:type="character" w:styleId="Mw-headline" w:customStyle="1">
    <w:name w:val="mw-headline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WW8Num25z8" w:customStyle="1">
    <w:name w:val="WW8Num25z8"/>
    <w:qFormat/>
    <w:rPr/>
  </w:style>
  <w:style w:type="character" w:styleId="WW8Num25z7" w:customStyle="1">
    <w:name w:val="WW8Num25z7"/>
    <w:qFormat/>
    <w:rPr/>
  </w:style>
  <w:style w:type="character" w:styleId="WW8Num25z6" w:customStyle="1">
    <w:name w:val="WW8Num25z6"/>
    <w:qFormat/>
    <w:rPr/>
  </w:style>
  <w:style w:type="character" w:styleId="WW8Num25z5" w:customStyle="1">
    <w:name w:val="WW8Num25z5"/>
    <w:qFormat/>
    <w:rPr/>
  </w:style>
  <w:style w:type="character" w:styleId="WW8Num25z4" w:customStyle="1">
    <w:name w:val="WW8Num25z4"/>
    <w:qFormat/>
    <w:rPr/>
  </w:style>
  <w:style w:type="character" w:styleId="WW8Num24z8" w:customStyle="1">
    <w:name w:val="WW8Num24z8"/>
    <w:qFormat/>
    <w:rPr/>
  </w:style>
  <w:style w:type="character" w:styleId="WW8Num24z7" w:customStyle="1">
    <w:name w:val="WW8Num24z7"/>
    <w:qFormat/>
    <w:rPr/>
  </w:style>
  <w:style w:type="character" w:styleId="WW8Num24z6" w:customStyle="1">
    <w:name w:val="WW8Num24z6"/>
    <w:qFormat/>
    <w:rPr/>
  </w:style>
  <w:style w:type="character" w:styleId="WW8Num24z5" w:customStyle="1">
    <w:name w:val="WW8Num24z5"/>
    <w:qFormat/>
    <w:rPr/>
  </w:style>
  <w:style w:type="character" w:styleId="WW8Num24z4" w:customStyle="1">
    <w:name w:val="WW8Num24z4"/>
    <w:qFormat/>
    <w:rPr/>
  </w:style>
  <w:style w:type="character" w:styleId="WW8Num23z8" w:customStyle="1">
    <w:name w:val="WW8Num23z8"/>
    <w:qFormat/>
    <w:rPr/>
  </w:style>
  <w:style w:type="character" w:styleId="WW8Num23z7" w:customStyle="1">
    <w:name w:val="WW8Num23z7"/>
    <w:qFormat/>
    <w:rPr/>
  </w:style>
  <w:style w:type="character" w:styleId="WW8Num23z6" w:customStyle="1">
    <w:name w:val="WW8Num23z6"/>
    <w:qFormat/>
    <w:rPr/>
  </w:style>
  <w:style w:type="character" w:styleId="WW8Num23z5" w:customStyle="1">
    <w:name w:val="WW8Num23z5"/>
    <w:qFormat/>
    <w:rPr/>
  </w:style>
  <w:style w:type="character" w:styleId="WW8Num23z4" w:customStyle="1">
    <w:name w:val="WW8Num23z4"/>
    <w:qFormat/>
    <w:rPr/>
  </w:style>
  <w:style w:type="character" w:styleId="WW8Num23z3" w:customStyle="1">
    <w:name w:val="WW8Num23z3"/>
    <w:qFormat/>
    <w:rPr/>
  </w:style>
  <w:style w:type="character" w:styleId="WW8Num23z2" w:customStyle="1">
    <w:name w:val="WW8Num23z2"/>
    <w:qFormat/>
    <w:rPr/>
  </w:style>
  <w:style w:type="character" w:styleId="WW8Num23z1" w:customStyle="1">
    <w:name w:val="WW8Num23z1"/>
    <w:qFormat/>
    <w:rPr/>
  </w:style>
  <w:style w:type="character" w:styleId="WW8Num22z8" w:customStyle="1">
    <w:name w:val="WW8Num22z8"/>
    <w:qFormat/>
    <w:rPr/>
  </w:style>
  <w:style w:type="character" w:styleId="WW8Num22z7" w:customStyle="1">
    <w:name w:val="WW8Num22z7"/>
    <w:qFormat/>
    <w:rPr/>
  </w:style>
  <w:style w:type="character" w:styleId="WW8Num22z6" w:customStyle="1">
    <w:name w:val="WW8Num22z6"/>
    <w:qFormat/>
    <w:rPr/>
  </w:style>
  <w:style w:type="character" w:styleId="WW8Num19z8" w:customStyle="1">
    <w:name w:val="WW8Num19z8"/>
    <w:qFormat/>
    <w:rPr/>
  </w:style>
  <w:style w:type="character" w:styleId="WW8Num19z7" w:customStyle="1">
    <w:name w:val="WW8Num19z7"/>
    <w:qFormat/>
    <w:rPr/>
  </w:style>
  <w:style w:type="character" w:styleId="WW8Num19z6" w:customStyle="1">
    <w:name w:val="WW8Num19z6"/>
    <w:qFormat/>
    <w:rPr/>
  </w:style>
  <w:style w:type="character" w:styleId="WW8Num19z5" w:customStyle="1">
    <w:name w:val="WW8Num19z5"/>
    <w:qFormat/>
    <w:rPr/>
  </w:style>
  <w:style w:type="character" w:styleId="WW8Num19z4" w:customStyle="1">
    <w:name w:val="WW8Num19z4"/>
    <w:qFormat/>
    <w:rPr/>
  </w:style>
  <w:style w:type="character" w:styleId="WW8Num18z8" w:customStyle="1">
    <w:name w:val="WW8Num18z8"/>
    <w:qFormat/>
    <w:rPr/>
  </w:style>
  <w:style w:type="character" w:styleId="WW8Num18z7" w:customStyle="1">
    <w:name w:val="WW8Num18z7"/>
    <w:qFormat/>
    <w:rPr/>
  </w:style>
  <w:style w:type="character" w:styleId="WW8Num18z6" w:customStyle="1">
    <w:name w:val="WW8Num18z6"/>
    <w:qFormat/>
    <w:rPr/>
  </w:style>
  <w:style w:type="character" w:styleId="WW8Num18z5" w:customStyle="1">
    <w:name w:val="WW8Num18z5"/>
    <w:qFormat/>
    <w:rPr/>
  </w:style>
  <w:style w:type="character" w:styleId="WW8Num18z4" w:customStyle="1">
    <w:name w:val="WW8Num18z4"/>
    <w:qFormat/>
    <w:rPr/>
  </w:style>
  <w:style w:type="character" w:styleId="WW8Num18z3" w:customStyle="1">
    <w:name w:val="WW8Num18z3"/>
    <w:qFormat/>
    <w:rPr/>
  </w:style>
  <w:style w:type="character" w:styleId="WW8Num15z8" w:customStyle="1">
    <w:name w:val="WW8Num15z8"/>
    <w:qFormat/>
    <w:rPr/>
  </w:style>
  <w:style w:type="character" w:styleId="WW8Num15z7" w:customStyle="1">
    <w:name w:val="WW8Num15z7"/>
    <w:qFormat/>
    <w:rPr/>
  </w:style>
  <w:style w:type="character" w:styleId="WW8Num15z6" w:customStyle="1">
    <w:name w:val="WW8Num15z6"/>
    <w:qFormat/>
    <w:rPr/>
  </w:style>
  <w:style w:type="character" w:styleId="WW8Num15z5" w:customStyle="1">
    <w:name w:val="WW8Num15z5"/>
    <w:qFormat/>
    <w:rPr/>
  </w:style>
  <w:style w:type="character" w:styleId="WW8Num15z4" w:customStyle="1">
    <w:name w:val="WW8Num15z4"/>
    <w:qFormat/>
    <w:rPr/>
  </w:style>
  <w:style w:type="character" w:styleId="WW8Num15z3" w:customStyle="1">
    <w:name w:val="WW8Num15z3"/>
    <w:qFormat/>
    <w:rPr/>
  </w:style>
  <w:style w:type="character" w:styleId="WW8Num15z2" w:customStyle="1">
    <w:name w:val="WW8Num15z2"/>
    <w:qFormat/>
    <w:rPr/>
  </w:style>
  <w:style w:type="character" w:styleId="WW8Num15z1" w:customStyle="1">
    <w:name w:val="WW8Num15z1"/>
    <w:qFormat/>
    <w:rPr/>
  </w:style>
  <w:style w:type="character" w:styleId="WW8Num15z0" w:customStyle="1">
    <w:name w:val="WW8Num15z0"/>
    <w:qFormat/>
    <w:rPr/>
  </w:style>
  <w:style w:type="character" w:styleId="WW8Num14z8" w:customStyle="1">
    <w:name w:val="WW8Num14z8"/>
    <w:qFormat/>
    <w:rPr/>
  </w:style>
  <w:style w:type="character" w:styleId="WW8Num14z7" w:customStyle="1">
    <w:name w:val="WW8Num14z7"/>
    <w:qFormat/>
    <w:rPr/>
  </w:style>
  <w:style w:type="character" w:styleId="WW8Num14z6" w:customStyle="1">
    <w:name w:val="WW8Num14z6"/>
    <w:qFormat/>
    <w:rPr/>
  </w:style>
  <w:style w:type="character" w:styleId="WW8Num14z5" w:customStyle="1">
    <w:name w:val="WW8Num14z5"/>
    <w:qFormat/>
    <w:rPr/>
  </w:style>
  <w:style w:type="character" w:styleId="WW8Num14z4" w:customStyle="1">
    <w:name w:val="WW8Num14z4"/>
    <w:qFormat/>
    <w:rPr/>
  </w:style>
  <w:style w:type="character" w:styleId="WW8Num14z3" w:customStyle="1">
    <w:name w:val="WW8Num14z3"/>
    <w:qFormat/>
    <w:rPr/>
  </w:style>
  <w:style w:type="character" w:styleId="WW8Num9z8" w:customStyle="1">
    <w:name w:val="WW8Num9z8"/>
    <w:qFormat/>
    <w:rPr/>
  </w:style>
  <w:style w:type="character" w:styleId="WW8Num9z7" w:customStyle="1">
    <w:name w:val="WW8Num9z7"/>
    <w:qFormat/>
    <w:rPr/>
  </w:style>
  <w:style w:type="character" w:styleId="WW8Num9z6" w:customStyle="1">
    <w:name w:val="WW8Num9z6"/>
    <w:qFormat/>
    <w:rPr/>
  </w:style>
  <w:style w:type="character" w:styleId="WW8Num9z5" w:customStyle="1">
    <w:name w:val="WW8Num9z5"/>
    <w:qFormat/>
    <w:rPr/>
  </w:style>
  <w:style w:type="character" w:styleId="WW8Num9z4" w:customStyle="1">
    <w:name w:val="WW8Num9z4"/>
    <w:qFormat/>
    <w:rPr/>
  </w:style>
  <w:style w:type="character" w:styleId="WW8Num8z1" w:customStyle="1">
    <w:name w:val="WW8Num8z1"/>
    <w:qFormat/>
    <w:rPr>
      <w:rFonts w:ascii="Courier New" w:hAnsi="Courier New" w:cs="Courier New"/>
    </w:rPr>
  </w:style>
  <w:style w:type="character" w:styleId="WW8Num7z1" w:customStyle="1">
    <w:name w:val="WW8Num7z1"/>
    <w:qFormat/>
    <w:rPr>
      <w:rFonts w:ascii="Courier New" w:hAnsi="Courier New" w:cs="Courier New"/>
    </w:rPr>
  </w:style>
  <w:style w:type="character" w:styleId="WW8Num3z1" w:customStyle="1">
    <w:name w:val="WW8Num3z1"/>
    <w:qFormat/>
    <w:rPr>
      <w:rFonts w:ascii="Courier New" w:hAnsi="Courier New" w:cs="Courier New"/>
    </w:rPr>
  </w:style>
  <w:style w:type="character" w:styleId="WW8Num1z1" w:customStyle="1">
    <w:name w:val="WW8Num1z1"/>
    <w:qFormat/>
    <w:rPr>
      <w:rFonts w:ascii="Courier New" w:hAnsi="Courier New" w:cs="Courier New"/>
    </w:rPr>
  </w:style>
  <w:style w:type="character" w:styleId="WW8Num64z1" w:customStyle="1">
    <w:name w:val="WW8Num64z1"/>
    <w:qFormat/>
    <w:rPr>
      <w:rFonts w:ascii="Courier New" w:hAnsi="Courier New" w:cs="Courier New"/>
    </w:rPr>
  </w:style>
  <w:style w:type="character" w:styleId="WW8Num62z1" w:customStyle="1">
    <w:name w:val="WW8Num62z1"/>
    <w:qFormat/>
    <w:rPr>
      <w:rFonts w:ascii="Courier New" w:hAnsi="Courier New" w:cs="Courier New"/>
    </w:rPr>
  </w:style>
  <w:style w:type="character" w:styleId="WW8Num60z1" w:customStyle="1">
    <w:name w:val="WW8Num60z1"/>
    <w:qFormat/>
    <w:rPr>
      <w:rFonts w:ascii="Courier New" w:hAnsi="Courier New" w:cs="Courier New"/>
    </w:rPr>
  </w:style>
  <w:style w:type="character" w:styleId="WW8Num59z1" w:customStyle="1">
    <w:name w:val="WW8Num59z1"/>
    <w:qFormat/>
    <w:rPr>
      <w:sz w:val="26"/>
    </w:rPr>
  </w:style>
  <w:style w:type="character" w:styleId="WW8Num58z0" w:customStyle="1">
    <w:name w:val="WW8Num58z0"/>
    <w:qFormat/>
    <w:rPr>
      <w:b/>
      <w:i w:val="false"/>
      <w:sz w:val="24"/>
    </w:rPr>
  </w:style>
  <w:style w:type="character" w:styleId="WW8Num55z4" w:customStyle="1">
    <w:name w:val="WW8Num55z4"/>
    <w:qFormat/>
    <w:rPr>
      <w:rFonts w:ascii="Courier New" w:hAnsi="Courier New" w:cs="Courier New"/>
    </w:rPr>
  </w:style>
  <w:style w:type="character" w:styleId="WW8Num55z1" w:customStyle="1">
    <w:name w:val="WW8Num55z1"/>
    <w:qFormat/>
    <w:rPr>
      <w:rFonts w:ascii="Times New Roman" w:hAnsi="Times New Roman" w:cs="Times New Roman"/>
    </w:rPr>
  </w:style>
  <w:style w:type="character" w:styleId="WW8Num54z1" w:customStyle="1">
    <w:name w:val="WW8Num54z1"/>
    <w:qFormat/>
    <w:rPr>
      <w:rFonts w:cs="Courier New"/>
    </w:rPr>
  </w:style>
  <w:style w:type="character" w:styleId="WW8Num54z0" w:customStyle="1">
    <w:name w:val="WW8Num54z0"/>
    <w:qFormat/>
    <w:rPr>
      <w:rFonts w:ascii="Times New Roman" w:hAnsi="Times New Roman" w:cs="Times New Roman"/>
    </w:rPr>
  </w:style>
  <w:style w:type="character" w:styleId="WW8Num53z2" w:customStyle="1">
    <w:name w:val="WW8Num53z2"/>
    <w:qFormat/>
    <w:rPr>
      <w:sz w:val="24"/>
      <w:szCs w:val="24"/>
    </w:rPr>
  </w:style>
  <w:style w:type="character" w:styleId="WW8Num53z1" w:customStyle="1">
    <w:name w:val="WW8Num53z1"/>
    <w:qFormat/>
    <w:rPr>
      <w:b w:val="false"/>
      <w:bCs/>
      <w:sz w:val="24"/>
      <w:szCs w:val="24"/>
    </w:rPr>
  </w:style>
  <w:style w:type="character" w:styleId="WW8Num53z0" w:customStyle="1">
    <w:name w:val="WW8Num53z0"/>
    <w:qFormat/>
    <w:rPr>
      <w:b/>
      <w:bCs w:val="false"/>
      <w:sz w:val="24"/>
      <w:szCs w:val="24"/>
    </w:rPr>
  </w:style>
  <w:style w:type="character" w:styleId="WW8Num52z1" w:customStyle="1">
    <w:name w:val="WW8Num52z1"/>
    <w:qFormat/>
    <w:rPr>
      <w:rFonts w:ascii="Courier New" w:hAnsi="Courier New" w:cs="Courier New"/>
    </w:rPr>
  </w:style>
  <w:style w:type="character" w:styleId="WW8Num52z0" w:customStyle="1">
    <w:name w:val="WW8Num52z0"/>
    <w:qFormat/>
    <w:rPr>
      <w:rFonts w:ascii="Times New Roman" w:hAnsi="Times New Roman" w:eastAsia="Times New Roman" w:cs="Times New Roman"/>
    </w:rPr>
  </w:style>
  <w:style w:type="character" w:styleId="WW8Num51z2" w:customStyle="1">
    <w:name w:val="WW8Num51z2"/>
    <w:qFormat/>
    <w:rPr>
      <w:rFonts w:ascii="Times New Roman" w:hAnsi="Times New Roman" w:cs="Times New Roman"/>
      <w:b/>
      <w:bCs/>
    </w:rPr>
  </w:style>
  <w:style w:type="character" w:styleId="WW8Num49z0" w:customStyle="1">
    <w:name w:val="WW8Num49z0"/>
    <w:qFormat/>
    <w:rPr>
      <w:b w:val="false"/>
      <w:i w:val="false"/>
    </w:rPr>
  </w:style>
  <w:style w:type="character" w:styleId="WW8Num48z1" w:customStyle="1">
    <w:name w:val="WW8Num48z1"/>
    <w:qFormat/>
    <w:rPr>
      <w:rFonts w:cs="Courier New"/>
    </w:rPr>
  </w:style>
  <w:style w:type="character" w:styleId="WW8Num48z0" w:customStyle="1">
    <w:name w:val="WW8Num48z0"/>
    <w:qFormat/>
    <w:rPr>
      <w:rFonts w:cs="Times New Roman"/>
      <w:sz w:val="24"/>
    </w:rPr>
  </w:style>
  <w:style w:type="character" w:styleId="WW8Num42z4" w:customStyle="1">
    <w:name w:val="WW8Num42z4"/>
    <w:qFormat/>
    <w:rPr>
      <w:rFonts w:ascii="Courier New" w:hAnsi="Courier New" w:cs="Courier New"/>
    </w:rPr>
  </w:style>
  <w:style w:type="character" w:styleId="WW8Num31z7" w:customStyle="1">
    <w:name w:val="WW8Num31z7"/>
    <w:qFormat/>
    <w:rPr>
      <w:rFonts w:cs="Courier New"/>
    </w:rPr>
  </w:style>
  <w:style w:type="character" w:styleId="WW8Num26z1" w:customStyle="1">
    <w:name w:val="WW8Num26z1"/>
    <w:qFormat/>
    <w:rPr>
      <w:rFonts w:ascii="Courier New" w:hAnsi="Courier New" w:cs="Courier New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vanish w:val="false"/>
      <w:spacing w:val="0"/>
      <w:kern w:val="2"/>
      <w:sz w:val="26"/>
      <w:szCs w:val="26"/>
    </w:rPr>
  </w:style>
  <w:style w:type="character" w:styleId="WW8Num23z0" w:customStyle="1">
    <w:name w:val="WW8Num23z0"/>
    <w:qFormat/>
    <w:rPr>
      <w:szCs w:val="26"/>
    </w:rPr>
  </w:style>
  <w:style w:type="character" w:styleId="WW8Num20z1" w:customStyle="1">
    <w:name w:val="WW8Num20z1"/>
    <w:qFormat/>
    <w:rPr>
      <w:rFonts w:ascii="Courier New" w:hAnsi="Courier New" w:cs="Courier New"/>
    </w:rPr>
  </w:style>
  <w:style w:type="character" w:styleId="WW8Num20z0" w:customStyle="1">
    <w:name w:val="WW8Num20z0"/>
    <w:qFormat/>
    <w:rPr>
      <w:rFonts w:ascii="Tahoma" w:hAnsi="Tahoma" w:cs="Tahoma"/>
      <w:szCs w:val="26"/>
    </w:rPr>
  </w:style>
  <w:style w:type="character" w:styleId="WW8Num18z1" w:customStyle="1">
    <w:name w:val="WW8Num18z1"/>
    <w:qFormat/>
    <w:rPr>
      <w:rFonts w:ascii="Courier New" w:hAnsi="Courier New" w:cs="Courier New"/>
    </w:rPr>
  </w:style>
  <w:style w:type="character" w:styleId="WW8Num13z5" w:customStyle="1">
    <w:name w:val="WW8Num13z5"/>
    <w:qFormat/>
    <w:rPr>
      <w:rFonts w:cs="Wingdings"/>
    </w:rPr>
  </w:style>
  <w:style w:type="character" w:styleId="WW8Num13z4" w:customStyle="1">
    <w:name w:val="WW8Num13z4"/>
    <w:qFormat/>
    <w:rPr>
      <w:rFonts w:cs="Courier New"/>
    </w:rPr>
  </w:style>
  <w:style w:type="character" w:styleId="WW8Num13z3" w:customStyle="1">
    <w:name w:val="WW8Num13z3"/>
    <w:qFormat/>
    <w:rPr>
      <w:rFonts w:cs="Symbol"/>
    </w:rPr>
  </w:style>
  <w:style w:type="character" w:styleId="WW8Num11z3" w:customStyle="1">
    <w:name w:val="WW8Num11z3"/>
    <w:qFormat/>
    <w:rPr>
      <w:rFonts w:cs="Symbol"/>
    </w:rPr>
  </w:style>
  <w:style w:type="character" w:styleId="WW8Num11z2" w:customStyle="1">
    <w:name w:val="WW8Num11z2"/>
    <w:qFormat/>
    <w:rPr>
      <w:rFonts w:cs="Wingdings"/>
    </w:rPr>
  </w:style>
  <w:style w:type="character" w:styleId="WW8Num11z1" w:customStyle="1">
    <w:name w:val="WW8Num11z1"/>
    <w:qFormat/>
    <w:rPr>
      <w:rFonts w:cs="Courier New"/>
    </w:rPr>
  </w:style>
  <w:style w:type="character" w:styleId="WW8Num6z1" w:customStyle="1">
    <w:name w:val="WW8Num6z1"/>
    <w:qFormat/>
    <w:rPr>
      <w:rFonts w:ascii="Courier New" w:hAnsi="Courier New" w:cs="Courier New"/>
    </w:rPr>
  </w:style>
  <w:style w:type="character" w:styleId="WW8Num6z0" w:customStyle="1">
    <w:name w:val="WW8Num6z0"/>
    <w:qFormat/>
    <w:rPr>
      <w:rFonts w:ascii="Times New Roman" w:hAnsi="Times New Roman" w:eastAsia="Times New Roman" w:cs="Times New Roman"/>
    </w:rPr>
  </w:style>
  <w:style w:type="character" w:styleId="WW8Num5z1" w:customStyle="1">
    <w:name w:val="WW8Num5z1"/>
    <w:qFormat/>
    <w:rPr>
      <w:rFonts w:ascii="Courier New" w:hAnsi="Courier New" w:cs="Courier New"/>
    </w:rPr>
  </w:style>
  <w:style w:type="character" w:styleId="WW8Num47z2" w:customStyle="1">
    <w:name w:val="WW8Num47z2"/>
    <w:qFormat/>
    <w:rPr>
      <w:rFonts w:ascii="Times New Roman" w:hAnsi="Times New Roman" w:cs="Times New Roman"/>
      <w:b/>
      <w:bCs/>
    </w:rPr>
  </w:style>
  <w:style w:type="character" w:styleId="WW8Num46z0" w:customStyle="1">
    <w:name w:val="WW8Num46z0"/>
    <w:qFormat/>
    <w:rPr>
      <w:rFonts w:ascii="Times New Roman" w:hAnsi="Times New Roman" w:eastAsia="Times New Roman" w:cs="Times New Roman"/>
      <w:szCs w:val="26"/>
      <w:shd w:fill="C0C0C0" w:val="clear"/>
    </w:rPr>
  </w:style>
  <w:style w:type="character" w:styleId="WW8Num45z1" w:customStyle="1">
    <w:name w:val="WW8Num45z1"/>
    <w:qFormat/>
    <w:rPr>
      <w:rFonts w:ascii="Courier New" w:hAnsi="Courier New" w:cs="Courier New"/>
    </w:rPr>
  </w:style>
  <w:style w:type="character" w:styleId="WW8Num45z0" w:customStyle="1">
    <w:name w:val="WW8Num45z0"/>
    <w:qFormat/>
    <w:rPr>
      <w:rFonts w:ascii="Times New Roman" w:hAnsi="Times New Roman" w:cs="Times New Roman"/>
    </w:rPr>
  </w:style>
  <w:style w:type="character" w:styleId="WW8Num44z1" w:customStyle="1">
    <w:name w:val="WW8Num44z1"/>
    <w:qFormat/>
    <w:rPr>
      <w:rFonts w:ascii="Courier New" w:hAnsi="Courier New" w:cs="Courier New"/>
    </w:rPr>
  </w:style>
  <w:style w:type="character" w:styleId="WW8Num25z1" w:customStyle="1">
    <w:name w:val="WW8Num25z1"/>
    <w:qFormat/>
    <w:rPr>
      <w:rFonts w:ascii="Courier New" w:hAnsi="Courier New" w:cs="Courier New"/>
    </w:rPr>
  </w:style>
  <w:style w:type="character" w:styleId="WW8Num45z2" w:customStyle="1">
    <w:name w:val="WW8Num45z2"/>
    <w:qFormat/>
    <w:rPr>
      <w:rFonts w:ascii="Times New Roman" w:hAnsi="Times New Roman" w:cs="Times New Roman"/>
      <w:b/>
      <w:bCs/>
    </w:rPr>
  </w:style>
  <w:style w:type="character" w:styleId="WW8Num44z0" w:customStyle="1">
    <w:name w:val="WW8Num44z0"/>
    <w:qFormat/>
    <w:rPr>
      <w:rFonts w:ascii="Times New Roman" w:hAnsi="Times New Roman" w:eastAsia="Times New Roman" w:cs="Times New Roman"/>
      <w:szCs w:val="26"/>
      <w:shd w:fill="C0C0C0" w:val="clear"/>
    </w:rPr>
  </w:style>
  <w:style w:type="character" w:styleId="WW8Num43z1" w:customStyle="1">
    <w:name w:val="WW8Num43z1"/>
    <w:qFormat/>
    <w:rPr>
      <w:rFonts w:ascii="Courier New" w:hAnsi="Courier New" w:cs="Courier New"/>
    </w:rPr>
  </w:style>
  <w:style w:type="character" w:styleId="WW8Num35z1" w:customStyle="1">
    <w:name w:val="WW8Num35z1"/>
    <w:qFormat/>
    <w:rPr>
      <w:rFonts w:ascii="Courier New" w:hAnsi="Courier New" w:cs="Courier New"/>
    </w:rPr>
  </w:style>
  <w:style w:type="character" w:styleId="WW8Num29z1" w:customStyle="1">
    <w:name w:val="WW8Num29z1"/>
    <w:qFormat/>
    <w:rPr>
      <w:rFonts w:ascii="Courier New" w:hAnsi="Courier New" w:cs="Courier New"/>
    </w:rPr>
  </w:style>
  <w:style w:type="character" w:styleId="WW8Num44z2" w:customStyle="1">
    <w:name w:val="WW8Num44z2"/>
    <w:qFormat/>
    <w:rPr>
      <w:rFonts w:ascii="Times New Roman" w:hAnsi="Times New Roman" w:cs="Times New Roman"/>
      <w:b/>
      <w:bCs/>
    </w:rPr>
  </w:style>
  <w:style w:type="character" w:styleId="WW8Num43z0" w:customStyle="1">
    <w:name w:val="WW8Num43z0"/>
    <w:qFormat/>
    <w:rPr>
      <w:rFonts w:ascii="Times New Roman" w:hAnsi="Times New Roman" w:eastAsia="Times New Roman" w:cs="Times New Roman"/>
      <w:szCs w:val="26"/>
      <w:shd w:fill="C0C0C0" w:val="clear"/>
    </w:rPr>
  </w:style>
  <w:style w:type="character" w:styleId="WW8Num42z1" w:customStyle="1">
    <w:name w:val="WW8Num42z1"/>
    <w:qFormat/>
    <w:rPr>
      <w:rFonts w:ascii="Courier New" w:hAnsi="Courier New" w:cs="Courier New"/>
    </w:rPr>
  </w:style>
  <w:style w:type="character" w:styleId="WW8Num42z0" w:customStyle="1">
    <w:name w:val="WW8Num42z0"/>
    <w:qFormat/>
    <w:rPr>
      <w:rFonts w:ascii="Times New Roman" w:hAnsi="Times New Roman" w:cs="Times New Roman"/>
    </w:rPr>
  </w:style>
  <w:style w:type="character" w:styleId="WW8Num41z1" w:customStyle="1">
    <w:name w:val="WW8Num41z1"/>
    <w:qFormat/>
    <w:rPr>
      <w:rFonts w:ascii="Courier New" w:hAnsi="Courier New" w:cs="Courier New"/>
    </w:rPr>
  </w:style>
  <w:style w:type="character" w:styleId="WW8Num41z0" w:customStyle="1">
    <w:name w:val="WW8Num41z0"/>
    <w:qFormat/>
    <w:rPr>
      <w:rFonts w:ascii="Times New Roman" w:hAnsi="Times New Roman" w:cs="Times New Roman"/>
    </w:rPr>
  </w:style>
  <w:style w:type="character" w:styleId="WW8Num40z1" w:customStyle="1">
    <w:name w:val="WW8Num40z1"/>
    <w:qFormat/>
    <w:rPr>
      <w:rFonts w:ascii="Courier New" w:hAnsi="Courier New" w:cs="Courier New"/>
    </w:rPr>
  </w:style>
  <w:style w:type="character" w:styleId="WW8Num40z0" w:customStyle="1">
    <w:name w:val="WW8Num40z0"/>
    <w:qFormat/>
    <w:rPr>
      <w:rFonts w:ascii="Times New Roman" w:hAnsi="Times New Roman" w:cs="Times New Roman"/>
      <w:szCs w:val="26"/>
    </w:rPr>
  </w:style>
  <w:style w:type="character" w:styleId="WW8Num39z1" w:customStyle="1">
    <w:name w:val="WW8Num39z1"/>
    <w:qFormat/>
    <w:rPr>
      <w:rFonts w:ascii="Courier New" w:hAnsi="Courier New" w:cs="Courier New"/>
    </w:rPr>
  </w:style>
  <w:style w:type="character" w:styleId="WW8Num38z1" w:customStyle="1">
    <w:name w:val="WW8Num38z1"/>
    <w:qFormat/>
    <w:rPr>
      <w:rFonts w:ascii="Courier New" w:hAnsi="Courier New" w:cs="Courier New"/>
    </w:rPr>
  </w:style>
  <w:style w:type="character" w:styleId="WW8Num38z0" w:customStyle="1">
    <w:name w:val="WW8Num38z0"/>
    <w:qFormat/>
    <w:rPr>
      <w:rFonts w:ascii="Tahoma" w:hAnsi="Tahoma" w:cs="Tahoma"/>
      <w:szCs w:val="26"/>
    </w:rPr>
  </w:style>
  <w:style w:type="character" w:styleId="WW8Num37z1" w:customStyle="1">
    <w:name w:val="WW8Num37z1"/>
    <w:qFormat/>
    <w:rPr>
      <w:rFonts w:ascii="Courier New" w:hAnsi="Courier New" w:cs="Courier New"/>
    </w:rPr>
  </w:style>
  <w:style w:type="character" w:styleId="WW8Num37z0" w:customStyle="1">
    <w:name w:val="WW8Num37z0"/>
    <w:qFormat/>
    <w:rPr>
      <w:rFonts w:ascii="Tahoma" w:hAnsi="Tahoma" w:cs="Tahoma"/>
      <w:szCs w:val="26"/>
    </w:rPr>
  </w:style>
  <w:style w:type="character" w:styleId="WW8Num36z1" w:customStyle="1">
    <w:name w:val="WW8Num36z1"/>
    <w:qFormat/>
    <w:rPr>
      <w:sz w:val="26"/>
    </w:rPr>
  </w:style>
  <w:style w:type="character" w:styleId="WW8Num34z1" w:customStyle="1">
    <w:name w:val="WW8Num34z1"/>
    <w:qFormat/>
    <w:rPr>
      <w:rFonts w:ascii="Courier New" w:hAnsi="Courier New" w:cs="Courier New"/>
    </w:rPr>
  </w:style>
  <w:style w:type="character" w:styleId="WW8Num33z1" w:customStyle="1">
    <w:name w:val="WW8Num33z1"/>
    <w:qFormat/>
    <w:rPr>
      <w:rFonts w:ascii="Courier New" w:hAnsi="Courier New" w:cs="Courier New"/>
    </w:rPr>
  </w:style>
  <w:style w:type="character" w:styleId="WW8Num32z1" w:customStyle="1">
    <w:name w:val="WW8Num32z1"/>
    <w:qFormat/>
    <w:rPr>
      <w:rFonts w:ascii="Courier New" w:hAnsi="Courier New" w:cs="Courier New"/>
    </w:rPr>
  </w:style>
  <w:style w:type="character" w:styleId="WW8Num31z1" w:customStyle="1">
    <w:name w:val="WW8Num31z1"/>
    <w:qFormat/>
    <w:rPr>
      <w:rFonts w:ascii="Courier New" w:hAnsi="Courier New" w:cs="Courier New"/>
    </w:rPr>
  </w:style>
  <w:style w:type="character" w:styleId="WW8Num30z1" w:customStyle="1">
    <w:name w:val="WW8Num30z1"/>
    <w:qFormat/>
    <w:rPr>
      <w:rFonts w:ascii="Courier New" w:hAnsi="Courier New" w:cs="Courier New"/>
    </w:rPr>
  </w:style>
  <w:style w:type="character" w:styleId="WW8Num28z1" w:customStyle="1">
    <w:name w:val="WW8Num28z1"/>
    <w:qFormat/>
    <w:rPr>
      <w:rFonts w:ascii="Courier New" w:hAnsi="Courier New" w:cs="Courier New"/>
    </w:rPr>
  </w:style>
  <w:style w:type="character" w:styleId="WW8Num27z1" w:customStyle="1">
    <w:name w:val="WW8Num27z1"/>
    <w:qFormat/>
    <w:rPr>
      <w:rFonts w:ascii="Courier New" w:hAnsi="Courier New" w:cs="Courier New"/>
    </w:rPr>
  </w:style>
  <w:style w:type="character" w:styleId="WW8Num26z0" w:customStyle="1">
    <w:name w:val="WW8Num26z0"/>
    <w:qFormat/>
    <w:rPr>
      <w:szCs w:val="26"/>
    </w:rPr>
  </w:style>
  <w:style w:type="character" w:styleId="WW8Num24z1" w:customStyle="1">
    <w:name w:val="WW8Num24z1"/>
    <w:qFormat/>
    <w:rPr>
      <w:rFonts w:ascii="Courier New" w:hAnsi="Courier New" w:cs="Courier New"/>
    </w:rPr>
  </w:style>
  <w:style w:type="character" w:styleId="WW8Num22z4" w:customStyle="1">
    <w:name w:val="WW8Num22z4"/>
    <w:qFormat/>
    <w:rPr>
      <w:rFonts w:ascii="Courier New" w:hAnsi="Courier New" w:cs="Courier New"/>
    </w:rPr>
  </w:style>
  <w:style w:type="character" w:styleId="WW8Num22z1" w:customStyle="1">
    <w:name w:val="WW8Num22z1"/>
    <w:qFormat/>
    <w:rPr>
      <w:rFonts w:ascii="Times New Roman" w:hAnsi="Times New Roman" w:cs="Times New Roman"/>
    </w:rPr>
  </w:style>
  <w:style w:type="character" w:styleId="WW8Num21z1" w:customStyle="1">
    <w:name w:val="WW8Num21z1"/>
    <w:qFormat/>
    <w:rPr>
      <w:rFonts w:ascii="Courier New" w:hAnsi="Courier New" w:cs="Courier New"/>
    </w:rPr>
  </w:style>
  <w:style w:type="character" w:styleId="WW8Num21z0" w:customStyle="1">
    <w:name w:val="WW8Num21z0"/>
    <w:qFormat/>
    <w:rPr>
      <w:rFonts w:ascii="Times New Roman" w:hAnsi="Times New Roman" w:cs="Times New Roman"/>
    </w:rPr>
  </w:style>
  <w:style w:type="character" w:styleId="WW8Num20z2" w:customStyle="1">
    <w:name w:val="WW8Num20z2"/>
    <w:qFormat/>
    <w:rPr>
      <w:rFonts w:ascii="Times New Roman" w:hAnsi="Times New Roman" w:cs="Times New Roman"/>
      <w:b/>
      <w:bCs/>
    </w:rPr>
  </w:style>
  <w:style w:type="character" w:styleId="WW8Num19z1" w:customStyle="1">
    <w:name w:val="WW8Num19z1"/>
    <w:qFormat/>
    <w:rPr>
      <w:rFonts w:ascii="Courier New" w:hAnsi="Courier New" w:cs="Courier New"/>
    </w:rPr>
  </w:style>
  <w:style w:type="character" w:styleId="WW8Num19z0" w:customStyle="1">
    <w:name w:val="WW8Num19z0"/>
    <w:qFormat/>
    <w:rPr>
      <w:rFonts w:ascii="Tahoma" w:hAnsi="Tahoma" w:cs="Tahoma"/>
      <w:szCs w:val="26"/>
    </w:rPr>
  </w:style>
  <w:style w:type="character" w:styleId="WW8Num18z0" w:customStyle="1">
    <w:name w:val="WW8Num18z0"/>
    <w:qFormat/>
    <w:rPr>
      <w:rFonts w:ascii="Times New Roman" w:hAnsi="Times New Roman" w:eastAsia="Times New Roman" w:cs="Times New Roman"/>
    </w:rPr>
  </w:style>
  <w:style w:type="character" w:styleId="WW8Num17z4" w:customStyle="1">
    <w:name w:val="WW8Num17z4"/>
    <w:qFormat/>
    <w:rPr>
      <w:rFonts w:ascii="Courier New" w:hAnsi="Courier New" w:cs="Courier New"/>
    </w:rPr>
  </w:style>
  <w:style w:type="character" w:styleId="WW8Num17z1" w:customStyle="1">
    <w:name w:val="WW8Num17z1"/>
    <w:qFormat/>
    <w:rPr>
      <w:rFonts w:ascii="Times New Roman" w:hAnsi="Times New Roman" w:cs="Times New Roman"/>
    </w:rPr>
  </w:style>
  <w:style w:type="character" w:styleId="WW8Num16z1" w:customStyle="1">
    <w:name w:val="WW8Num16z1"/>
    <w:qFormat/>
    <w:rPr>
      <w:rFonts w:ascii="Courier New" w:hAnsi="Courier New" w:cs="Courier New"/>
    </w:rPr>
  </w:style>
  <w:style w:type="character" w:styleId="WW8Num14z1" w:customStyle="1">
    <w:name w:val="WW8Num14z1"/>
    <w:qFormat/>
    <w:rPr>
      <w:rFonts w:ascii="Courier New" w:hAnsi="Courier New" w:cs="Courier New"/>
    </w:rPr>
  </w:style>
  <w:style w:type="character" w:styleId="WW8Num13z1" w:customStyle="1">
    <w:name w:val="WW8Num13z1"/>
    <w:qFormat/>
    <w:rPr>
      <w:rFonts w:ascii="Courier New" w:hAnsi="Courier New" w:cs="Courier New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vanish w:val="false"/>
      <w:spacing w:val="0"/>
      <w:kern w:val="2"/>
      <w:sz w:val="26"/>
      <w:szCs w:val="26"/>
    </w:rPr>
  </w:style>
  <w:style w:type="character" w:styleId="WW8Num13z0" w:customStyle="1">
    <w:name w:val="WW8Num13z0"/>
    <w:qFormat/>
    <w:rPr>
      <w:rFonts w:ascii="Times New Roman" w:hAnsi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vanish w:val="false"/>
      <w:spacing w:val="0"/>
      <w:kern w:val="2"/>
      <w:sz w:val="26"/>
      <w:szCs w:val="26"/>
    </w:rPr>
  </w:style>
  <w:style w:type="character" w:styleId="WW8Num12z1" w:customStyle="1">
    <w:name w:val="WW8Num12z1"/>
    <w:qFormat/>
    <w:rPr>
      <w:rFonts w:ascii="Courier New" w:hAnsi="Courier New" w:cs="Courier New"/>
    </w:rPr>
  </w:style>
  <w:style w:type="character" w:styleId="WW8Num12z0" w:customStyle="1">
    <w:name w:val="WW8Num12z0"/>
    <w:qFormat/>
    <w:rPr>
      <w:rFonts w:ascii="Times New Roman" w:hAnsi="Times New Roman" w:cs="Times New Roman"/>
      <w:szCs w:val="26"/>
    </w:rPr>
  </w:style>
  <w:style w:type="character" w:styleId="WW8Num11z0" w:customStyle="1">
    <w:name w:val="WW8Num11z0"/>
    <w:qFormat/>
    <w:rPr>
      <w:szCs w:val="26"/>
    </w:rPr>
  </w:style>
  <w:style w:type="character" w:styleId="WW8Num10z1" w:customStyle="1">
    <w:name w:val="WW8Num10z1"/>
    <w:qFormat/>
    <w:rPr>
      <w:rFonts w:ascii="Courier New" w:hAnsi="Courier New" w:cs="Courier New"/>
    </w:rPr>
  </w:style>
  <w:style w:type="character" w:styleId="WW8Num9z1" w:customStyle="1">
    <w:name w:val="WW8Num9z1"/>
    <w:qFormat/>
    <w:rPr>
      <w:rFonts w:ascii="Courier New" w:hAnsi="Courier New" w:cs="Courier New"/>
    </w:rPr>
  </w:style>
  <w:style w:type="character" w:styleId="WW8Num9z0" w:customStyle="1">
    <w:name w:val="WW8Num9z0"/>
    <w:qFormat/>
    <w:rPr>
      <w:rFonts w:ascii="Tahoma" w:hAnsi="Tahoma" w:cs="Tahoma"/>
      <w:szCs w:val="26"/>
    </w:rPr>
  </w:style>
  <w:style w:type="character" w:styleId="WW8Num5z0" w:customStyle="1">
    <w:name w:val="WW8Num5z0"/>
    <w:qFormat/>
    <w:rPr>
      <w:rFonts w:ascii="Times New Roman" w:hAnsi="Times New Roman" w:eastAsia="Times New Roman" w:cs="Times New Roman"/>
      <w:szCs w:val="26"/>
      <w:shd w:fill="C0C0C0" w:val="clear"/>
    </w:rPr>
  </w:style>
  <w:style w:type="character" w:styleId="WW8Num4z1" w:customStyle="1">
    <w:name w:val="WW8Num4z1"/>
    <w:qFormat/>
    <w:rPr>
      <w:rFonts w:ascii="Courier New" w:hAnsi="Courier New" w:cs="Courier New"/>
    </w:rPr>
  </w:style>
  <w:style w:type="character" w:styleId="WW8Num4z0" w:customStyle="1">
    <w:name w:val="WW8Num4z0"/>
    <w:qFormat/>
    <w:rPr>
      <w:rFonts w:ascii="Times New Roman" w:hAnsi="Times New Roman" w:cs="Times New Roman"/>
    </w:rPr>
  </w:style>
  <w:style w:type="character" w:styleId="WW8Num3z0" w:customStyle="1">
    <w:name w:val="WW8Num3z0"/>
    <w:qFormat/>
    <w:rPr>
      <w:b w:val="false"/>
      <w:lang w:val="ru-RU"/>
    </w:rPr>
  </w:style>
  <w:style w:type="character" w:styleId="WW8Num2z1" w:customStyle="1">
    <w:name w:val="WW8Num2z1"/>
    <w:qFormat/>
    <w:rPr>
      <w:rFonts w:ascii="Courier New" w:hAnsi="Courier New" w:cs="Courier New"/>
    </w:rPr>
  </w:style>
  <w:style w:type="character" w:styleId="Linenumber">
    <w:name w:val="line number"/>
    <w:qFormat/>
    <w:rPr/>
  </w:style>
  <w:style w:type="paragraph" w:styleId="Style32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uiPriority w:val="99"/>
    <w:semiHidden/>
    <w:unhideWhenUsed/>
    <w:rsid w:val="008d483b"/>
    <w:pPr>
      <w:spacing w:before="6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33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jc w:val="center"/>
    </w:pPr>
    <w:rPr>
      <w:b/>
      <w:bCs/>
      <w:sz w:val="56"/>
      <w:szCs w:val="56"/>
    </w:rPr>
  </w:style>
  <w:style w:type="paragraph" w:styleId="Caption1">
    <w:name w:val="caption1"/>
    <w:qFormat/>
    <w:pPr>
      <w:widowControl/>
      <w:suppressAutoHyphens w:val="true"/>
      <w:bidi w:val="0"/>
      <w:spacing w:before="60" w:after="0"/>
      <w:jc w:val="both"/>
    </w:pPr>
    <w:rPr>
      <w:rFonts w:ascii="Times New Roman" w:hAnsi="Times New Roman" w:eastAsia="Times New Roman" w:cs="Times New Roman"/>
      <w:b/>
      <w:bCs/>
      <w:color w:val="auto"/>
      <w:kern w:val="0"/>
      <w:sz w:val="20"/>
      <w:szCs w:val="20"/>
      <w:lang w:val="ru-RU" w:eastAsia="en-US" w:bidi="ar-SA"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BalloonText">
    <w:name w:val="Balloon Text"/>
    <w:qFormat/>
    <w:pPr>
      <w:widowControl/>
      <w:suppressAutoHyphens w:val="true"/>
      <w:bidi w:val="0"/>
      <w:spacing w:before="0" w:after="0"/>
      <w:jc w:val="both"/>
    </w:pPr>
    <w:rPr>
      <w:rFonts w:ascii="Segoe UI" w:hAnsi="Segoe UI" w:eastAsia="Times New Roman" w:cs="Segoe UI"/>
      <w:color w:val="auto"/>
      <w:kern w:val="0"/>
      <w:sz w:val="18"/>
      <w:szCs w:val="18"/>
      <w:lang w:val="ru-RU" w:eastAsia="en-US" w:bidi="ar-SA"/>
    </w:rPr>
  </w:style>
  <w:style w:type="paragraph" w:styleId="ListParagraph">
    <w:name w:val="List Paragraph"/>
    <w:qFormat/>
    <w:pPr>
      <w:widowControl/>
      <w:suppressAutoHyphens w:val="true"/>
      <w:bidi w:val="0"/>
      <w:spacing w:before="60" w:after="0"/>
      <w:ind w:left="720" w:hanging="0"/>
      <w:jc w:val="both"/>
    </w:pPr>
    <w:rPr>
      <w:rFonts w:ascii="Times New Roman" w:hAnsi="Times New Roman" w:eastAsia="Times New Roman" w:cs="Times New Roman"/>
      <w:color w:val="auto"/>
      <w:kern w:val="0"/>
      <w:sz w:val="26"/>
      <w:szCs w:val="20"/>
      <w:lang w:val="ru-RU" w:eastAsia="en-US" w:bidi="ar-SA"/>
    </w:rPr>
  </w:style>
  <w:style w:type="paragraph" w:styleId="Annotationtext">
    <w:name w:val="annotation text"/>
    <w:qFormat/>
    <w:pPr>
      <w:widowControl/>
      <w:suppressAutoHyphens w:val="true"/>
      <w:bidi w:val="0"/>
      <w:spacing w:before="60" w:after="0"/>
      <w:jc w:val="both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en-US" w:bidi="ar-SA"/>
    </w:rPr>
  </w:style>
  <w:style w:type="paragraph" w:styleId="Annotationsubject">
    <w:name w:val="annotation subject"/>
    <w:qFormat/>
    <w:pPr>
      <w:widowControl/>
      <w:suppressAutoHyphens w:val="true"/>
      <w:bidi w:val="0"/>
      <w:spacing w:before="60" w:after="0"/>
      <w:jc w:val="both"/>
    </w:pPr>
    <w:rPr>
      <w:rFonts w:ascii="Times New Roman" w:hAnsi="Times New Roman" w:eastAsia="Times New Roman" w:cs="Times New Roman"/>
      <w:b/>
      <w:bCs/>
      <w:color w:val="auto"/>
      <w:kern w:val="0"/>
      <w:sz w:val="20"/>
      <w:szCs w:val="20"/>
      <w:lang w:val="ru-RU" w:eastAsia="en-US" w:bidi="ar-SA"/>
    </w:rPr>
  </w:style>
  <w:style w:type="paragraph" w:styleId="Style34" w:customStyle="1">
    <w:name w:val="Знак Знак Знак Знак Знак Знак"/>
    <w:basedOn w:val="Normal"/>
    <w:qFormat/>
    <w:rsid w:val="00093c4f"/>
    <w:pPr>
      <w:spacing w:lineRule="exact" w:line="240" w:before="0" w:after="160"/>
    </w:pPr>
    <w:rPr>
      <w:rFonts w:ascii="Verdana" w:hAnsi="Verdana"/>
      <w:sz w:val="20"/>
      <w:lang w:val="en-US" w:eastAsia="en-US"/>
    </w:rPr>
  </w:style>
  <w:style w:type="paragraph" w:styleId="BodyTextIndent">
    <w:name w:val="Body Text Indent"/>
    <w:basedOn w:val="Normal"/>
    <w:uiPriority w:val="99"/>
    <w:rsid w:val="00cf2872"/>
    <w:pPr>
      <w:spacing w:before="60" w:after="120"/>
      <w:ind w:left="283" w:hanging="0"/>
      <w:jc w:val="left"/>
    </w:pPr>
    <w:rPr>
      <w:sz w:val="22"/>
    </w:rPr>
  </w:style>
  <w:style w:type="paragraph" w:styleId="Default" w:customStyle="1">
    <w:name w:val="Default"/>
    <w:qFormat/>
    <w:rsid w:val="008d483b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en-US" w:bidi="ar-SA"/>
    </w:rPr>
  </w:style>
  <w:style w:type="paragraph" w:styleId="FootnoteText">
    <w:name w:val="Footnote Text"/>
    <w:basedOn w:val="Normal"/>
    <w:uiPriority w:val="99"/>
    <w:qFormat/>
    <w:rsid w:val="009c4a8d"/>
    <w:pPr/>
    <w:rPr>
      <w:sz w:val="20"/>
    </w:rPr>
  </w:style>
  <w:style w:type="paragraph" w:styleId="Bodytext51" w:customStyle="1">
    <w:name w:val="Body text (5)"/>
    <w:basedOn w:val="Normal"/>
    <w:link w:val="Bodytext5"/>
    <w:qFormat/>
    <w:rsid w:val="00635c19"/>
    <w:pPr>
      <w:widowControl w:val="false"/>
      <w:shd w:val="clear" w:color="auto" w:fill="FFFFFF"/>
      <w:spacing w:before="240" w:after="300"/>
    </w:pPr>
    <w:rPr>
      <w:i/>
      <w:iCs/>
      <w:sz w:val="22"/>
      <w:szCs w:val="22"/>
      <w:lang w:eastAsia="en-US"/>
    </w:rPr>
  </w:style>
  <w:style w:type="paragraph" w:styleId="Style35" w:customStyle="1">
    <w:name w:val="Колонтитул"/>
    <w:basedOn w:val="Normal"/>
    <w:qFormat/>
    <w:pPr/>
    <w:rPr/>
  </w:style>
  <w:style w:type="paragraph" w:styleId="Header">
    <w:name w:val="Header"/>
    <w:basedOn w:val="Normal"/>
    <w:uiPriority w:val="99"/>
    <w:unhideWhenUsed/>
    <w:rsid w:val="005a3898"/>
    <w:pPr>
      <w:tabs>
        <w:tab w:val="clear" w:pos="708"/>
        <w:tab w:val="center" w:pos="4677" w:leader="none"/>
        <w:tab w:val="right" w:pos="9355" w:leader="none"/>
      </w:tabs>
      <w:spacing w:before="0" w:after="0"/>
    </w:pPr>
    <w:rPr/>
  </w:style>
  <w:style w:type="paragraph" w:styleId="Footer">
    <w:name w:val="Footer"/>
    <w:basedOn w:val="Normal"/>
    <w:uiPriority w:val="99"/>
    <w:unhideWhenUsed/>
    <w:rsid w:val="005a3898"/>
    <w:pPr>
      <w:tabs>
        <w:tab w:val="clear" w:pos="708"/>
        <w:tab w:val="center" w:pos="4677" w:leader="none"/>
        <w:tab w:val="right" w:pos="9355" w:leader="none"/>
      </w:tabs>
      <w:spacing w:before="0" w:after="0"/>
    </w:pPr>
    <w:rPr/>
  </w:style>
  <w:style w:type="paragraph" w:styleId="Revision">
    <w:name w:val="Revision"/>
    <w:uiPriority w:val="99"/>
    <w:semiHidden/>
    <w:qFormat/>
    <w:rsid w:val="00dc1f7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6"/>
      <w:szCs w:val="20"/>
      <w:lang w:val="ru-RU" w:eastAsia="ru-RU" w:bidi="ar-SA"/>
    </w:rPr>
  </w:style>
  <w:style w:type="paragraph" w:styleId="Standard" w:customStyle="1">
    <w:name w:val="Standard"/>
    <w:qFormat/>
    <w:rsid w:val="00250212"/>
    <w:pPr>
      <w:widowControl/>
      <w:suppressAutoHyphens w:val="true"/>
      <w:bidi w:val="0"/>
      <w:spacing w:before="60" w:after="0"/>
      <w:jc w:val="both"/>
    </w:pPr>
    <w:rPr>
      <w:rFonts w:ascii="Times New Roman" w:hAnsi="Times New Roman" w:eastAsia="Times New Roman" w:cs="Times New Roman"/>
      <w:color w:val="00000A"/>
      <w:kern w:val="0"/>
      <w:sz w:val="26"/>
      <w:szCs w:val="20"/>
      <w:lang w:val="ru-RU" w:eastAsia="ru-RU" w:bidi="ar-SA"/>
    </w:rPr>
  </w:style>
  <w:style w:type="paragraph" w:styleId="Style36" w:customStyle="1">
    <w:name w:val="Текст в заданном формате"/>
    <w:basedOn w:val="Normal"/>
    <w:qFormat/>
    <w:pPr/>
    <w:rPr>
      <w:rFonts w:ascii="Liberation Mono" w:hAnsi="Liberation Mono" w:eastAsia="Liberation Mono" w:cs="Liberation Mono"/>
      <w:sz w:val="20"/>
    </w:rPr>
  </w:style>
  <w:style w:type="paragraph" w:styleId="Style37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38" w:customStyle="1">
    <w:name w:val="Заголовок таблицы"/>
    <w:basedOn w:val="Style37"/>
    <w:qFormat/>
    <w:pPr>
      <w:jc w:val="center"/>
    </w:pPr>
    <w:rPr>
      <w:b/>
      <w:bCs/>
    </w:rPr>
  </w:style>
  <w:style w:type="paragraph" w:styleId="24" w:customStyle="1">
    <w:name w:val="Нумерованный абзац ур.2"/>
    <w:basedOn w:val="Normal"/>
    <w:qFormat/>
    <w:pPr>
      <w:widowControl w:val="false"/>
      <w:tabs>
        <w:tab w:val="clear" w:pos="708"/>
        <w:tab w:val="left" w:pos="1560" w:leader="none"/>
      </w:tabs>
      <w:spacing w:lineRule="auto" w:line="276" w:before="0" w:after="0"/>
      <w:textAlignment w:val="baseline"/>
    </w:pPr>
    <w:rPr>
      <w:color w:val="000000"/>
      <w:sz w:val="28"/>
      <w:lang w:eastAsia="ar-SA"/>
    </w:rPr>
  </w:style>
  <w:style w:type="paragraph" w:styleId="NoSpacing">
    <w:name w:val="No Spacing"/>
    <w:qFormat/>
    <w:pPr>
      <w:widowControl/>
      <w:suppressAutoHyphens w:val="true"/>
      <w:bidi w:val="0"/>
      <w:spacing w:lineRule="auto" w:line="360" w:before="60" w:after="0"/>
      <w:jc w:val="both"/>
    </w:pPr>
    <w:rPr>
      <w:rFonts w:ascii="Times New Roman" w:hAnsi="Times New Roman" w:eastAsia="Calibri" w:cs="Times New Roman" w:eastAsiaTheme="minorHAnsi"/>
      <w:color w:val="auto"/>
      <w:kern w:val="0"/>
      <w:sz w:val="20"/>
      <w:szCs w:val="22"/>
      <w:lang w:val="ru-RU" w:eastAsia="en-US" w:bidi="ar-SA"/>
    </w:rPr>
  </w:style>
  <w:style w:type="paragraph" w:styleId="Caption111" w:customStyle="1">
    <w:name w:val="caption111"/>
    <w:basedOn w:val="Normal"/>
    <w:qFormat/>
    <w:pPr>
      <w:spacing w:before="120" w:after="120"/>
    </w:pPr>
    <w:rPr>
      <w:rFonts w:ascii="Calibri" w:hAnsi="Calibri" w:eastAsia="Lohit Devanagari"/>
      <w:i/>
      <w:color w:val="00000A"/>
      <w:sz w:val="24"/>
      <w:lang w:eastAsia="ar-SA"/>
    </w:rPr>
  </w:style>
  <w:style w:type="paragraph" w:styleId="Footnotetext1" w:customStyle="1">
    <w:name w:val="footnote text1"/>
    <w:basedOn w:val="Normal"/>
    <w:qFormat/>
    <w:pPr/>
    <w:rPr>
      <w:sz w:val="20"/>
    </w:rPr>
  </w:style>
  <w:style w:type="paragraph" w:styleId="3f3f3f3f3f3f3f" w:customStyle="1">
    <w:name w:val="Б3fа3fз3fо3fв3fы3fй3f"/>
    <w:qFormat/>
    <w:pPr>
      <w:widowControl/>
      <w:suppressAutoHyphens w:val="true"/>
      <w:bidi w:val="0"/>
      <w:spacing w:lineRule="atLeast" w:line="200" w:before="0" w:after="0"/>
      <w:jc w:val="left"/>
      <w:textAlignment w:val="baseline"/>
    </w:pPr>
    <w:rPr>
      <w:rFonts w:ascii="Lucida Sans" w:hAnsi="Lucida Sans" w:eastAsia="Microsoft YaHei" w:cs="Lucida Sans"/>
      <w:color w:val="auto"/>
      <w:kern w:val="2"/>
      <w:sz w:val="36"/>
      <w:szCs w:val="36"/>
      <w:lang w:val="ru-RU" w:eastAsia="zh-CN" w:bidi="hi-IN"/>
    </w:rPr>
  </w:style>
  <w:style w:type="paragraph" w:styleId="Formattext" w:customStyle="1">
    <w:name w:val="formattext"/>
    <w:basedOn w:val="Normal"/>
    <w:qFormat/>
    <w:pPr>
      <w:spacing w:before="280" w:after="280"/>
    </w:pPr>
    <w:rPr/>
  </w:style>
  <w:style w:type="paragraph" w:styleId="15" w:customStyle="1">
    <w:name w:val="ЗАГ 1"/>
    <w:qFormat/>
    <w:pPr>
      <w:widowControl/>
      <w:suppressAutoHyphens w:val="true"/>
      <w:bidi w:val="0"/>
      <w:spacing w:before="0" w:after="0"/>
      <w:jc w:val="center"/>
    </w:pPr>
    <w:rPr>
      <w:rFonts w:ascii="Times New Roman" w:hAnsi="Times New Roman" w:eastAsia="Times New Roman" w:cs="Times New Roman"/>
      <w:b/>
      <w:bCs/>
      <w:color w:val="auto"/>
      <w:kern w:val="0"/>
      <w:sz w:val="32"/>
      <w:szCs w:val="32"/>
      <w:lang w:val="ru-RU" w:eastAsia="en-US" w:bidi="ar-SA"/>
    </w:rPr>
  </w:style>
  <w:style w:type="paragraph" w:styleId="25" w:customStyle="1">
    <w:name w:val="ЗАГ 2"/>
    <w:qFormat/>
    <w:pPr>
      <w:widowControl/>
      <w:suppressAutoHyphens w:val="true"/>
      <w:bidi w:val="0"/>
      <w:spacing w:before="0" w:after="0"/>
      <w:ind w:firstLine="709"/>
      <w:jc w:val="both"/>
    </w:pPr>
    <w:rPr>
      <w:rFonts w:ascii="Times New Roman" w:hAnsi="Times New Roman" w:eastAsia="Times New Roman" w:cs="Times New Roman"/>
      <w:b/>
      <w:color w:val="000000"/>
      <w:kern w:val="0"/>
      <w:sz w:val="26"/>
      <w:szCs w:val="22"/>
      <w:lang w:val="ru-RU" w:eastAsia="en-US" w:bidi="ar-SA"/>
    </w:rPr>
  </w:style>
  <w:style w:type="paragraph" w:styleId="Style39" w:customStyle="1">
    <w:name w:val="Прилож"/>
    <w:basedOn w:val="Heading2"/>
    <w:qFormat/>
    <w:pPr>
      <w:keepNext w:val="true"/>
      <w:spacing w:before="0" w:after="0"/>
      <w:jc w:val="right"/>
    </w:pPr>
    <w:rPr>
      <w:szCs w:val="20"/>
    </w:rPr>
  </w:style>
  <w:style w:type="paragraph" w:styleId="Contents3" w:customStyle="1">
    <w:name w:val="Contents 3"/>
    <w:qFormat/>
    <w:pPr>
      <w:widowControl/>
      <w:suppressAutoHyphens w:val="true"/>
      <w:bidi w:val="0"/>
      <w:spacing w:before="0" w:after="0"/>
      <w:ind w:firstLine="567"/>
      <w:jc w:val="left"/>
    </w:pPr>
    <w:rPr>
      <w:rFonts w:ascii="Calibri" w:hAnsi="Calibri" w:eastAsia="Calibri" w:cs="Calibri" w:asciiTheme="minorHAnsi" w:eastAsiaTheme="minorHAnsi" w:hAnsiTheme="minorHAnsi"/>
      <w:color w:val="auto"/>
      <w:kern w:val="0"/>
      <w:sz w:val="20"/>
      <w:szCs w:val="20"/>
      <w:lang w:val="ru-RU" w:eastAsia="en-US" w:bidi="ar-SA"/>
    </w:rPr>
  </w:style>
  <w:style w:type="paragraph" w:styleId="Contents4" w:customStyle="1">
    <w:name w:val="Contents 4"/>
    <w:qFormat/>
    <w:pPr>
      <w:widowControl/>
      <w:suppressAutoHyphens w:val="true"/>
      <w:bidi w:val="0"/>
      <w:spacing w:before="0" w:after="0"/>
      <w:ind w:firstLine="567"/>
      <w:jc w:val="left"/>
    </w:pPr>
    <w:rPr>
      <w:rFonts w:ascii="Calibri" w:hAnsi="Calibri" w:eastAsia="Calibri" w:cs="Calibri" w:asciiTheme="minorHAnsi" w:eastAsiaTheme="minorHAnsi" w:hAnsiTheme="minorHAnsi"/>
      <w:color w:val="auto"/>
      <w:kern w:val="0"/>
      <w:sz w:val="20"/>
      <w:szCs w:val="20"/>
      <w:lang w:val="ru-RU" w:eastAsia="en-US" w:bidi="ar-SA"/>
    </w:rPr>
  </w:style>
  <w:style w:type="paragraph" w:styleId="Contents1" w:customStyle="1">
    <w:name w:val="Contents 1"/>
    <w:qFormat/>
    <w:pPr>
      <w:widowControl/>
      <w:suppressAutoHyphens w:val="true"/>
      <w:bidi w:val="0"/>
      <w:spacing w:before="0" w:after="0"/>
      <w:ind w:firstLine="142"/>
      <w:jc w:val="left"/>
    </w:pPr>
    <w:rPr>
      <w:rFonts w:ascii="Calibri" w:hAnsi="Calibri" w:eastAsia="Calibri" w:cs="Calibri Light (Заголовки)" w:asciiTheme="minorHAnsi" w:eastAsiaTheme="minorHAnsi" w:hAnsiTheme="minorHAnsi"/>
      <w:b/>
      <w:bCs/>
      <w:color w:val="auto"/>
      <w:kern w:val="0"/>
      <w:sz w:val="20"/>
      <w:szCs w:val="22"/>
      <w:lang w:val="ru-RU" w:eastAsia="en-US" w:bidi="ar-SA"/>
    </w:rPr>
  </w:style>
  <w:style w:type="paragraph" w:styleId="Style40" w:customStyle="1">
    <w:name w:val="По умолчанию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Helvetica Neue" w:hAnsi="Helvetica Neue" w:eastAsia="Arial Unicode MS" w:cs="Arial Unicode MS"/>
      <w:color w:val="000000"/>
      <w:kern w:val="2"/>
      <w:sz w:val="21"/>
      <w:szCs w:val="21"/>
      <w:lang w:val="ru-RU" w:eastAsia="zh-CN" w:bidi="hi-IN"/>
    </w:rPr>
  </w:style>
  <w:style w:type="paragraph" w:styleId="Caption2" w:customStyle="1">
    <w:name w:val="Caption2"/>
    <w:qFormat/>
    <w:pPr>
      <w:widowControl/>
      <w:suppressAutoHyphens w:val="true"/>
      <w:bidi w:val="0"/>
      <w:spacing w:before="120" w:after="120"/>
      <w:jc w:val="both"/>
    </w:pPr>
    <w:rPr>
      <w:rFonts w:ascii="Times New Roman" w:hAnsi="Times New Roman" w:eastAsia="Times New Roman" w:cs="" w:cstheme="minorBidi"/>
      <w:i/>
      <w:iCs/>
      <w:color w:val="auto"/>
      <w:kern w:val="0"/>
      <w:sz w:val="20"/>
      <w:szCs w:val="22"/>
      <w:lang w:val="ru-RU" w:eastAsia="en-US" w:bidi="ar-SA"/>
    </w:rPr>
  </w:style>
  <w:style w:type="paragraph" w:styleId="Caption1111" w:customStyle="1">
    <w:name w:val="Caption1111"/>
    <w:qFormat/>
    <w:pPr>
      <w:widowControl/>
      <w:suppressAutoHyphens w:val="true"/>
      <w:bidi w:val="0"/>
      <w:spacing w:before="120" w:after="120"/>
      <w:jc w:val="both"/>
    </w:pPr>
    <w:rPr>
      <w:rFonts w:ascii="Times New Roman" w:hAnsi="Times New Roman" w:eastAsia="Times New Roman" w:cs="" w:cstheme="minorBidi"/>
      <w:i/>
      <w:iCs/>
      <w:color w:val="auto"/>
      <w:kern w:val="0"/>
      <w:sz w:val="20"/>
      <w:szCs w:val="22"/>
      <w:lang w:val="ru-RU" w:eastAsia="en-US" w:bidi="ar-SA"/>
    </w:rPr>
  </w:style>
  <w:style w:type="paragraph" w:styleId="BodyText21">
    <w:name w:val="Body Text 2"/>
    <w:qFormat/>
    <w:pPr>
      <w:widowControl/>
      <w:suppressAutoHyphens w:val="true"/>
      <w:bidi w:val="0"/>
      <w:spacing w:before="60" w:after="0"/>
      <w:jc w:val="both"/>
    </w:pPr>
    <w:rPr>
      <w:rFonts w:ascii="Times New Roman" w:hAnsi="Times New Roman" w:eastAsia="Times New Roman" w:cs="Times New Roman"/>
      <w:color w:val="auto"/>
      <w:kern w:val="0"/>
      <w:sz w:val="26"/>
      <w:szCs w:val="20"/>
      <w:lang w:val="ru-RU" w:eastAsia="en-US" w:bidi="ar-SA"/>
    </w:rPr>
  </w:style>
  <w:style w:type="paragraph" w:styleId="ConsNonformat" w:customStyle="1">
    <w:name w:val="ConsNonformat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Courier New" w:hAnsi="Courier New" w:eastAsia="Times New Roman" w:cs="Courier New"/>
      <w:color w:val="auto"/>
      <w:kern w:val="2"/>
      <w:sz w:val="20"/>
      <w:szCs w:val="20"/>
      <w:lang w:val="ru-RU" w:eastAsia="zh-CN" w:bidi="ar-SA"/>
    </w:rPr>
  </w:style>
  <w:style w:type="paragraph" w:styleId="Style41" w:customStyle="1">
    <w:name w:val="Раздел положения"/>
    <w:qFormat/>
    <w:pPr>
      <w:widowControl/>
      <w:suppressAutoHyphens w:val="true"/>
      <w:bidi w:val="0"/>
      <w:spacing w:before="80" w:after="80"/>
      <w:jc w:val="center"/>
    </w:pPr>
    <w:rPr>
      <w:rFonts w:ascii="Times New Roman" w:hAnsi="Times New Roman" w:eastAsia="Times New Roman" w:cs="Times New Roman"/>
      <w:b/>
      <w:color w:val="auto"/>
      <w:kern w:val="0"/>
      <w:sz w:val="32"/>
      <w:szCs w:val="32"/>
      <w:lang w:val="ru-RU" w:eastAsia="en-US" w:bidi="ar-SA"/>
    </w:rPr>
  </w:style>
  <w:style w:type="paragraph" w:styleId="Style42" w:customStyle="1">
    <w:name w:val="Таблица шапка"/>
    <w:qFormat/>
    <w:pPr>
      <w:keepNext w:val="true"/>
      <w:widowControl/>
      <w:suppressAutoHyphens w:val="true"/>
      <w:bidi w:val="0"/>
      <w:spacing w:before="40" w:after="40"/>
      <w:ind w:left="57" w:right="57" w:hanging="0"/>
      <w:jc w:val="both"/>
    </w:pPr>
    <w:rPr>
      <w:rFonts w:ascii="Times New Roman" w:hAnsi="Times New Roman" w:eastAsia="Times New Roman" w:cs="Times New Roman"/>
      <w:color w:val="auto"/>
      <w:kern w:val="0"/>
      <w:sz w:val="22"/>
      <w:szCs w:val="26"/>
      <w:lang w:val="ru-RU" w:eastAsia="en-US" w:bidi="ar-SA"/>
    </w:rPr>
  </w:style>
  <w:style w:type="paragraph" w:styleId="Style43" w:customStyle="1">
    <w:name w:val="Подраздел раздела положения"/>
    <w:qFormat/>
    <w:pPr>
      <w:widowControl/>
      <w:tabs>
        <w:tab w:val="clear" w:pos="708"/>
        <w:tab w:val="left" w:pos="1418" w:leader="none"/>
      </w:tabs>
      <w:suppressAutoHyphens w:val="true"/>
      <w:bidi w:val="0"/>
      <w:spacing w:before="80" w:after="80"/>
      <w:jc w:val="both"/>
    </w:pPr>
    <w:rPr>
      <w:rFonts w:ascii="Times New Roman" w:hAnsi="Times New Roman" w:eastAsia="Times New Roman" w:cs="Times New Roman"/>
      <w:bCs/>
      <w:color w:val="auto"/>
      <w:kern w:val="0"/>
      <w:sz w:val="20"/>
      <w:szCs w:val="22"/>
      <w:lang w:val="ru-RU" w:eastAsia="en-US" w:bidi="ar-SA"/>
    </w:rPr>
  </w:style>
  <w:style w:type="paragraph" w:styleId="16" w:customStyle="1">
    <w:name w:val="Знак Знак Знак Знак Знак Знак Знак Знак Знак Знак1"/>
    <w:qFormat/>
    <w:pPr>
      <w:widowControl/>
      <w:suppressAutoHyphens w:val="true"/>
      <w:bidi w:val="0"/>
      <w:spacing w:lineRule="exact" w:line="240" w:before="0" w:after="160"/>
      <w:jc w:val="left"/>
    </w:pPr>
    <w:rPr>
      <w:rFonts w:ascii="Verdana" w:hAnsi="Verdana" w:eastAsia="Times New Roman" w:cs="Verdana"/>
      <w:color w:val="auto"/>
      <w:kern w:val="0"/>
      <w:sz w:val="20"/>
      <w:szCs w:val="20"/>
      <w:lang w:val="en-US" w:eastAsia="en-US" w:bidi="ar-SA"/>
    </w:rPr>
  </w:style>
  <w:style w:type="paragraph" w:styleId="17" w:customStyle="1">
    <w:name w:val="Абзац списка1"/>
    <w:qFormat/>
    <w:pPr>
      <w:widowControl/>
      <w:suppressAutoHyphens w:val="true"/>
      <w:bidi w:val="0"/>
      <w:spacing w:lineRule="auto" w:line="276" w:before="0" w:after="200"/>
      <w:ind w:left="720" w:hanging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44" w:customStyle="1">
    <w:name w:val="ПРЛ"/>
    <w:basedOn w:val="Heading2"/>
    <w:qFormat/>
    <w:pPr>
      <w:keepNext w:val="true"/>
      <w:spacing w:before="0" w:after="0"/>
      <w:jc w:val="right"/>
    </w:pPr>
    <w:rPr>
      <w:sz w:val="26"/>
      <w:szCs w:val="26"/>
    </w:rPr>
  </w:style>
  <w:style w:type="paragraph" w:styleId="211" w:customStyle="1">
    <w:name w:val="Заголовок 2.1"/>
    <w:qFormat/>
    <w:pPr>
      <w:widowControl/>
      <w:suppressAutoHyphens w:val="true"/>
      <w:bidi w:val="0"/>
      <w:spacing w:lineRule="auto" w:line="480" w:before="0" w:after="0"/>
      <w:jc w:val="right"/>
    </w:pPr>
    <w:rPr>
      <w:rFonts w:ascii="Times New Roman" w:hAnsi="Times New Roman" w:eastAsia="Times New Roman" w:cs="Times New Roman"/>
      <w:b/>
      <w:color w:val="000000"/>
      <w:kern w:val="0"/>
      <w:sz w:val="26"/>
      <w:szCs w:val="22"/>
      <w:lang w:val="ru-RU" w:eastAsia="en-US" w:bidi="ar-SA"/>
    </w:rPr>
  </w:style>
  <w:style w:type="paragraph" w:styleId="ContentsHeading" w:customStyle="1">
    <w:name w:val="Contents Heading"/>
    <w:basedOn w:val="Heading1"/>
    <w:qFormat/>
    <w:pPr>
      <w:spacing w:lineRule="auto" w:line="252"/>
    </w:pPr>
    <w:rPr>
      <w:rFonts w:ascii="Calibri Light" w:hAnsi="Calibri Light" w:eastAsia="Times New Roman" w:cs="Times New Roman"/>
      <w:color w:val="2E74B5"/>
    </w:rPr>
  </w:style>
  <w:style w:type="paragraph" w:styleId="Bodytext22" w:customStyle="1">
    <w:name w:val="Body text (2)"/>
    <w:qFormat/>
    <w:pPr>
      <w:widowControl/>
      <w:suppressAutoHyphens w:val="true"/>
      <w:bidi w:val="0"/>
      <w:spacing w:lineRule="exact" w:line="284" w:before="240" w:after="0"/>
      <w:ind w:hanging="740"/>
      <w:jc w:val="both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en-US" w:bidi="ar-SA"/>
    </w:rPr>
  </w:style>
  <w:style w:type="paragraph" w:styleId="Style121" w:customStyle="1">
    <w:name w:val="Style12"/>
    <w:qFormat/>
    <w:pPr>
      <w:widowControl/>
      <w:suppressAutoHyphens w:val="true"/>
      <w:bidi w:val="0"/>
      <w:spacing w:lineRule="exact" w:line="302" w:before="0" w:after="0"/>
      <w:ind w:firstLine="715"/>
      <w:jc w:val="both"/>
    </w:pPr>
    <w:rPr>
      <w:rFonts w:ascii="Times New Roman" w:hAnsi="Times New Roman" w:eastAsia="Times New Roman" w:cs="Times New Roman"/>
      <w:color w:val="auto"/>
      <w:kern w:val="0"/>
      <w:sz w:val="20"/>
      <w:szCs w:val="22"/>
      <w:lang w:val="ru-RU" w:eastAsia="en-US" w:bidi="ar-SA"/>
    </w:rPr>
  </w:style>
  <w:style w:type="paragraph" w:styleId="Style45" w:customStyle="1">
    <w:name w:val="Знак Знак Знак Знак Знак Знак Знак Знак Знак Знак"/>
    <w:qFormat/>
    <w:pPr>
      <w:widowControl/>
      <w:suppressAutoHyphens w:val="true"/>
      <w:bidi w:val="0"/>
      <w:spacing w:lineRule="exact" w:line="240" w:before="0" w:after="160"/>
      <w:jc w:val="both"/>
    </w:pPr>
    <w:rPr>
      <w:rFonts w:ascii="Verdana" w:hAnsi="Verdana" w:eastAsia="Times New Roman" w:cs="Verdana"/>
      <w:color w:val="auto"/>
      <w:kern w:val="0"/>
      <w:sz w:val="20"/>
      <w:szCs w:val="20"/>
      <w:lang w:val="en-US" w:eastAsia="en-US" w:bidi="ar-SA"/>
    </w:rPr>
  </w:style>
  <w:style w:type="paragraph" w:styleId="Style46" w:customStyle="1">
    <w:name w:val="Заголовок для содержания"/>
    <w:qFormat/>
    <w:pPr>
      <w:widowControl/>
      <w:suppressAutoHyphens w:val="true"/>
      <w:bidi w:val="0"/>
      <w:spacing w:before="0" w:after="0"/>
      <w:jc w:val="center"/>
    </w:pPr>
    <w:rPr>
      <w:rFonts w:ascii="Times New Roman" w:hAnsi="Times New Roman" w:eastAsia="Times New Roman" w:cs="Times New Roman"/>
      <w:b/>
      <w:bCs/>
      <w:color w:val="auto"/>
      <w:kern w:val="0"/>
      <w:sz w:val="32"/>
      <w:szCs w:val="32"/>
      <w:lang w:val="ru-RU" w:eastAsia="en-US" w:bidi="ar-SA"/>
    </w:rPr>
  </w:style>
  <w:style w:type="paragraph" w:styleId="Style47" w:customStyle="1">
    <w:name w:val="Приложение для содержания"/>
    <w:qFormat/>
    <w:pPr>
      <w:widowControl/>
      <w:suppressAutoHyphens w:val="true"/>
      <w:bidi w:val="0"/>
      <w:spacing w:before="0" w:after="0"/>
      <w:jc w:val="right"/>
    </w:pPr>
    <w:rPr>
      <w:rFonts w:ascii="Times New Roman" w:hAnsi="Times New Roman" w:eastAsia="Times New Roman" w:cs="Times New Roman"/>
      <w:b/>
      <w:color w:val="000000"/>
      <w:kern w:val="0"/>
      <w:sz w:val="26"/>
      <w:szCs w:val="22"/>
      <w:lang w:val="ru-RU" w:eastAsia="en-US" w:bidi="ar-SA"/>
    </w:rPr>
  </w:style>
  <w:style w:type="paragraph" w:styleId="18" w:customStyle="1">
    <w:name w:val="Заголовок 1 для содержания"/>
    <w:qFormat/>
    <w:pPr>
      <w:widowControl/>
      <w:suppressAutoHyphens w:val="true"/>
      <w:bidi w:val="0"/>
      <w:spacing w:before="0" w:after="0"/>
      <w:ind w:left="720" w:firstLine="709"/>
      <w:jc w:val="both"/>
    </w:pPr>
    <w:rPr>
      <w:rFonts w:ascii="Times New Roman" w:hAnsi="Times New Roman" w:eastAsia="Times New Roman" w:cs="Times New Roman"/>
      <w:b/>
      <w:color w:val="000000"/>
      <w:kern w:val="0"/>
      <w:sz w:val="26"/>
      <w:szCs w:val="22"/>
      <w:lang w:val="ru-RU" w:eastAsia="en-US" w:bidi="ar-SA"/>
    </w:rPr>
  </w:style>
  <w:style w:type="paragraph" w:styleId="19" w:customStyle="1">
    <w:name w:val="Обычный1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0"/>
      <w:szCs w:val="20"/>
      <w:lang w:val="ru-RU" w:eastAsia="zh-CN" w:bidi="ar-SA"/>
    </w:rPr>
  </w:style>
  <w:style w:type="paragraph" w:styleId="BlockText">
    <w:name w:val="Block Text"/>
    <w:qFormat/>
    <w:pPr>
      <w:widowControl/>
      <w:suppressAutoHyphens w:val="true"/>
      <w:bidi w:val="0"/>
      <w:spacing w:before="0" w:after="0"/>
      <w:ind w:left="709" w:right="741" w:hanging="139"/>
      <w:jc w:val="both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en-US" w:bidi="ar-SA"/>
    </w:rPr>
  </w:style>
  <w:style w:type="paragraph" w:styleId="110" w:customStyle="1">
    <w:name w:val="Заголовок №1"/>
    <w:qFormat/>
    <w:pPr>
      <w:widowControl/>
      <w:suppressAutoHyphens w:val="true"/>
      <w:bidi w:val="0"/>
      <w:spacing w:lineRule="exact" w:line="320" w:before="0" w:after="0"/>
      <w:jc w:val="both"/>
    </w:pPr>
    <w:rPr>
      <w:rFonts w:ascii="Times New Roman" w:hAnsi="Times New Roman" w:eastAsia="Times New Roman" w:cs="Times New Roman"/>
      <w:b/>
      <w:bCs/>
      <w:color w:val="auto"/>
      <w:kern w:val="0"/>
      <w:sz w:val="23"/>
      <w:szCs w:val="23"/>
      <w:lang w:val="ru-RU" w:eastAsia="en-US" w:bidi="ar-SA"/>
    </w:rPr>
  </w:style>
  <w:style w:type="paragraph" w:styleId="ConsNormal" w:customStyle="1">
    <w:name w:val="ConsNormal"/>
    <w:qFormat/>
    <w:pPr>
      <w:widowControl w:val="false"/>
      <w:suppressAutoHyphens w:val="true"/>
      <w:bidi w:val="0"/>
      <w:spacing w:before="0" w:after="0"/>
      <w:ind w:firstLine="720"/>
      <w:jc w:val="left"/>
      <w:textAlignment w:val="baseline"/>
    </w:pPr>
    <w:rPr>
      <w:rFonts w:ascii="Arial" w:hAnsi="Arial" w:eastAsia="Times New Roman" w:cs="Arial"/>
      <w:color w:val="auto"/>
      <w:kern w:val="2"/>
      <w:sz w:val="20"/>
      <w:szCs w:val="20"/>
      <w:lang w:val="ru-RU" w:eastAsia="zh-CN" w:bidi="ar-SA"/>
    </w:rPr>
  </w:style>
  <w:style w:type="paragraph" w:styleId="Style48" w:customStyle="1">
    <w:name w:val="Знак"/>
    <w:next w:val="Heading1"/>
    <w:qFormat/>
    <w:pPr>
      <w:widowControl/>
      <w:suppressAutoHyphens w:val="true"/>
      <w:bidi w:val="0"/>
      <w:spacing w:lineRule="exact" w:line="240" w:before="0" w:after="160"/>
      <w:jc w:val="both"/>
    </w:pPr>
    <w:rPr>
      <w:rFonts w:ascii="Verdana" w:hAnsi="Verdana" w:eastAsia="Times New Roman" w:cs="Verdana"/>
      <w:color w:val="auto"/>
      <w:kern w:val="0"/>
      <w:sz w:val="20"/>
      <w:szCs w:val="20"/>
      <w:lang w:val="en-US" w:eastAsia="en-US" w:bidi="ar-SA"/>
    </w:rPr>
  </w:style>
  <w:style w:type="paragraph" w:styleId="DocumentMap">
    <w:name w:val="Document Map"/>
    <w:qFormat/>
    <w:pPr>
      <w:widowControl/>
      <w:suppressAutoHyphens w:val="true"/>
      <w:bidi w:val="0"/>
      <w:spacing w:before="60" w:after="0"/>
      <w:jc w:val="both"/>
    </w:pPr>
    <w:rPr>
      <w:rFonts w:ascii="Tahoma" w:hAnsi="Tahoma" w:eastAsia="Times New Roman" w:cs="Tahoma"/>
      <w:color w:val="auto"/>
      <w:kern w:val="0"/>
      <w:sz w:val="20"/>
      <w:szCs w:val="20"/>
      <w:lang w:val="ru-RU" w:eastAsia="en-US" w:bidi="ar-SA"/>
    </w:rPr>
  </w:style>
  <w:style w:type="paragraph" w:styleId="Textbodyindent" w:customStyle="1">
    <w:name w:val="Text body indent"/>
    <w:qFormat/>
    <w:pPr>
      <w:widowControl/>
      <w:suppressAutoHyphens w:val="true"/>
      <w:bidi w:val="0"/>
      <w:spacing w:before="60" w:after="120"/>
      <w:ind w:left="283" w:hanging="0"/>
      <w:jc w:val="both"/>
    </w:pPr>
    <w:rPr>
      <w:rFonts w:ascii="Times New Roman" w:hAnsi="Times New Roman" w:eastAsia="Times New Roman" w:cs="Times New Roman"/>
      <w:color w:val="auto"/>
      <w:kern w:val="0"/>
      <w:sz w:val="26"/>
      <w:szCs w:val="20"/>
      <w:lang w:val="ru-RU" w:eastAsia="en-US" w:bidi="ar-SA"/>
    </w:rPr>
  </w:style>
  <w:style w:type="paragraph" w:styleId="Style49" w:customStyle="1">
    <w:name w:val="=Рисунок"/>
    <w:basedOn w:val="Heading5"/>
    <w:qFormat/>
    <w:pPr>
      <w:keepLines/>
      <w:tabs>
        <w:tab w:val="clear" w:pos="708"/>
        <w:tab w:val="left" w:pos="-357" w:leader="none"/>
      </w:tabs>
      <w:spacing w:before="0" w:after="0"/>
      <w:ind w:left="-357" w:firstLine="357"/>
    </w:pPr>
    <w:rPr>
      <w:b w:val="false"/>
      <w:bCs w:val="false"/>
      <w:color w:val="000000"/>
      <w:sz w:val="26"/>
      <w:szCs w:val="26"/>
    </w:rPr>
  </w:style>
  <w:style w:type="paragraph" w:styleId="Style50" w:customStyle="1">
    <w:name w:val="= Пункты"/>
    <w:qFormat/>
    <w:pPr>
      <w:widowControl/>
      <w:suppressAutoHyphens w:val="true"/>
      <w:bidi w:val="0"/>
      <w:spacing w:before="0" w:after="0"/>
      <w:ind w:firstLine="720"/>
      <w:jc w:val="both"/>
    </w:pPr>
    <w:rPr>
      <w:rFonts w:ascii="Times New Roman" w:hAnsi="Times New Roman" w:eastAsia="Times New Roman" w:cs="TimesNewRomanPSMT"/>
      <w:bCs/>
      <w:iCs/>
      <w:color w:val="auto"/>
      <w:kern w:val="0"/>
      <w:sz w:val="26"/>
      <w:szCs w:val="26"/>
      <w:lang w:val="ru-RU" w:eastAsia="en-US" w:bidi="ar-SA"/>
    </w:rPr>
  </w:style>
  <w:style w:type="paragraph" w:styleId="112" w:customStyle="1">
    <w:name w:val="=Заголовок 1"/>
    <w:basedOn w:val="Heading1"/>
    <w:qFormat/>
    <w:pPr>
      <w:spacing w:before="0" w:after="0"/>
      <w:jc w:val="center"/>
    </w:pPr>
    <w:rPr>
      <w:rFonts w:ascii="Times New Roman" w:hAnsi="Times New Roman" w:eastAsia="Times New Roman" w:cs="Times New Roman"/>
      <w:b/>
      <w:bCs/>
      <w:color w:val="auto"/>
    </w:rPr>
  </w:style>
  <w:style w:type="paragraph" w:styleId="26" w:customStyle="1">
    <w:name w:val="= Заголовок 2 ="/>
    <w:qFormat/>
    <w:pPr>
      <w:widowControl/>
      <w:suppressAutoHyphens w:val="true"/>
      <w:bidi w:val="0"/>
      <w:spacing w:before="0" w:after="0"/>
      <w:ind w:firstLine="709"/>
      <w:jc w:val="both"/>
    </w:pPr>
    <w:rPr>
      <w:rFonts w:ascii="Times New Roman" w:hAnsi="Times New Roman" w:eastAsia="Times New Roman" w:cs="Times New Roman"/>
      <w:b/>
      <w:color w:val="000000"/>
      <w:kern w:val="0"/>
      <w:sz w:val="26"/>
      <w:szCs w:val="22"/>
      <w:lang w:val="ru-RU" w:eastAsia="en-US" w:bidi="ar-SA"/>
    </w:rPr>
  </w:style>
  <w:style w:type="paragraph" w:styleId="HTMLPreformatted">
    <w:name w:val="HTML Preformatted"/>
    <w:qFormat/>
    <w:pPr>
      <w:widowControl/>
      <w:suppressAutoHyphens w:val="true"/>
      <w:bidi w:val="0"/>
      <w:spacing w:before="0" w:after="0"/>
      <w:jc w:val="both"/>
    </w:pPr>
    <w:rPr>
      <w:rFonts w:ascii="Arial Unicode MS" w:hAnsi="Arial Unicode MS" w:eastAsia="Arial Unicode MS" w:cs="Arial Unicode MS"/>
      <w:color w:val="auto"/>
      <w:kern w:val="0"/>
      <w:sz w:val="20"/>
      <w:szCs w:val="20"/>
      <w:lang w:val="ru-RU" w:eastAsia="en-US" w:bidi="ar-SA"/>
    </w:rPr>
  </w:style>
  <w:style w:type="paragraph" w:styleId="MessageHeader">
    <w:name w:val="Message Header"/>
    <w:qFormat/>
    <w:pPr>
      <w:keepLines/>
      <w:widowControl/>
      <w:suppressAutoHyphens w:val="true"/>
      <w:bidi w:val="0"/>
      <w:spacing w:lineRule="atLeast" w:line="240" w:before="0" w:after="120"/>
      <w:ind w:left="1080" w:hanging="1080"/>
      <w:jc w:val="both"/>
    </w:pPr>
    <w:rPr>
      <w:rFonts w:ascii="Times New Roman" w:hAnsi="Times New Roman" w:eastAsia="Times New Roman" w:cs="Times New Roman"/>
      <w:caps/>
      <w:color w:val="auto"/>
      <w:kern w:val="0"/>
      <w:sz w:val="18"/>
      <w:szCs w:val="22"/>
      <w:lang w:val="ru-RU" w:eastAsia="en-US" w:bidi="ar-SA"/>
    </w:rPr>
  </w:style>
  <w:style w:type="paragraph" w:styleId="113" w:customStyle="1">
    <w:name w:val="Îáû÷íûé1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Baltica" w:hAnsi="Baltica" w:eastAsia="Times New Roman" w:cs="Baltica"/>
      <w:color w:val="auto"/>
      <w:kern w:val="2"/>
      <w:sz w:val="20"/>
      <w:szCs w:val="24"/>
      <w:lang w:val="ru-RU" w:eastAsia="zh-CN" w:bidi="ar-SA"/>
    </w:rPr>
  </w:style>
  <w:style w:type="paragraph" w:styleId="ConsPlusTitle" w:customStyle="1">
    <w:name w:val="ConsPlusTitle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Arial" w:hAnsi="Arial" w:eastAsia="Times New Roman" w:cs="Arial"/>
      <w:b/>
      <w:bCs/>
      <w:color w:val="auto"/>
      <w:kern w:val="2"/>
      <w:sz w:val="20"/>
      <w:szCs w:val="20"/>
      <w:lang w:val="ru-RU" w:eastAsia="zh-CN" w:bidi="ar-SA"/>
    </w:rPr>
  </w:style>
  <w:style w:type="paragraph" w:styleId="Artrubname" w:customStyle="1">
    <w:name w:val="artrubname"/>
    <w:qFormat/>
    <w:pPr>
      <w:widowControl/>
      <w:suppressAutoHyphens w:val="true"/>
      <w:bidi w:val="0"/>
      <w:spacing w:before="45" w:after="0"/>
      <w:jc w:val="both"/>
    </w:pPr>
    <w:rPr>
      <w:rFonts w:ascii="Times New Roman" w:hAnsi="Times New Roman" w:eastAsia="Times New Roman" w:cs="Times New Roman"/>
      <w:b/>
      <w:bCs/>
      <w:color w:val="EF9D09"/>
      <w:kern w:val="0"/>
      <w:sz w:val="21"/>
      <w:szCs w:val="21"/>
      <w:lang w:val="ru-RU" w:eastAsia="en-US" w:bidi="ar-SA"/>
    </w:rPr>
  </w:style>
  <w:style w:type="paragraph" w:styleId="Artmagnum" w:customStyle="1">
    <w:name w:val="artmagnum"/>
    <w:qFormat/>
    <w:pPr>
      <w:widowControl/>
      <w:suppressAutoHyphens w:val="true"/>
      <w:bidi w:val="0"/>
      <w:spacing w:before="45" w:after="0"/>
      <w:jc w:val="both"/>
    </w:pPr>
    <w:rPr>
      <w:rFonts w:ascii="Times New Roman" w:hAnsi="Times New Roman" w:eastAsia="Times New Roman" w:cs="Times New Roman"/>
      <w:b/>
      <w:bCs/>
      <w:color w:val="22A62B"/>
      <w:kern w:val="0"/>
      <w:sz w:val="27"/>
      <w:szCs w:val="27"/>
      <w:lang w:val="ru-RU" w:eastAsia="en-US" w:bidi="ar-SA"/>
    </w:rPr>
  </w:style>
  <w:style w:type="paragraph" w:styleId="Artname" w:customStyle="1">
    <w:name w:val="artname"/>
    <w:qFormat/>
    <w:pPr>
      <w:widowControl/>
      <w:suppressAutoHyphens w:val="true"/>
      <w:bidi w:val="0"/>
      <w:spacing w:before="45" w:after="0"/>
      <w:jc w:val="both"/>
    </w:pPr>
    <w:rPr>
      <w:rFonts w:ascii="Times New Roman" w:hAnsi="Times New Roman" w:eastAsia="Times New Roman" w:cs="Times New Roman"/>
      <w:b/>
      <w:bCs/>
      <w:color w:val="22A62B"/>
      <w:kern w:val="0"/>
      <w:sz w:val="20"/>
      <w:szCs w:val="22"/>
      <w:lang w:val="ru-RU" w:eastAsia="en-US" w:bidi="ar-SA"/>
    </w:rPr>
  </w:style>
  <w:style w:type="paragraph" w:styleId="Note4" w:customStyle="1">
    <w:name w:val="note4"/>
    <w:qFormat/>
    <w:pPr>
      <w:widowControl/>
      <w:suppressAutoHyphens w:val="true"/>
      <w:bidi w:val="0"/>
      <w:spacing w:before="0" w:after="288"/>
      <w:ind w:left="480" w:right="240" w:hanging="0"/>
      <w:jc w:val="both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en-US" w:bidi="ar-SA"/>
    </w:rPr>
  </w:style>
  <w:style w:type="paragraph" w:styleId="Footnote" w:customStyle="1">
    <w:name w:val="Footnote"/>
    <w:qFormat/>
    <w:pPr>
      <w:widowControl/>
      <w:suppressAutoHyphens w:val="true"/>
      <w:bidi w:val="0"/>
      <w:spacing w:before="60" w:after="0"/>
      <w:jc w:val="both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en-US" w:bidi="ar-SA"/>
    </w:rPr>
  </w:style>
  <w:style w:type="paragraph" w:styleId="Style51" w:customStyle="1">
    <w:name w:val="Список с цифрой Знак"/>
    <w:qFormat/>
    <w:pPr>
      <w:widowControl/>
      <w:suppressAutoHyphens w:val="true"/>
      <w:bidi w:val="0"/>
      <w:spacing w:before="60" w:after="60"/>
      <w:ind w:left="1077" w:hanging="357"/>
      <w:jc w:val="both"/>
    </w:pPr>
    <w:rPr>
      <w:rFonts w:ascii="Times New Roman" w:hAnsi="Times New Roman" w:eastAsia="Times New Roman" w:cs="Times New Roman"/>
      <w:color w:val="auto"/>
      <w:kern w:val="0"/>
      <w:sz w:val="20"/>
      <w:szCs w:val="22"/>
      <w:lang w:val="ru-RU" w:eastAsia="en-US" w:bidi="ar-SA"/>
    </w:rPr>
  </w:style>
  <w:style w:type="paragraph" w:styleId="NormalWeb">
    <w:name w:val="Normal (Web)"/>
    <w:qFormat/>
    <w:pPr>
      <w:widowControl/>
      <w:suppressAutoHyphens w:val="true"/>
      <w:bidi w:val="0"/>
      <w:spacing w:before="280" w:after="280"/>
      <w:jc w:val="both"/>
    </w:pPr>
    <w:rPr>
      <w:rFonts w:ascii="Verdana" w:hAnsi="Verdana" w:eastAsia="Times New Roman" w:cs="Verdana"/>
      <w:color w:val="auto"/>
      <w:kern w:val="0"/>
      <w:sz w:val="18"/>
      <w:szCs w:val="18"/>
      <w:lang w:val="ru-RU" w:eastAsia="en-US" w:bidi="ar-SA"/>
    </w:rPr>
  </w:style>
  <w:style w:type="paragraph" w:styleId="ConsPlusNonformat" w:customStyle="1">
    <w:name w:val="ConsPlusNonformat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Courier New" w:hAnsi="Courier New" w:eastAsia="Times New Roman" w:cs="Courier New"/>
      <w:color w:val="auto"/>
      <w:kern w:val="2"/>
      <w:sz w:val="20"/>
      <w:szCs w:val="20"/>
      <w:lang w:val="ru-RU" w:eastAsia="zh-CN" w:bidi="ar-SA"/>
    </w:rPr>
  </w:style>
  <w:style w:type="paragraph" w:styleId="ConsPlusNormal" w:customStyle="1">
    <w:name w:val="ConsPlusNormal"/>
    <w:qFormat/>
    <w:pPr>
      <w:widowControl w:val="false"/>
      <w:suppressAutoHyphens w:val="true"/>
      <w:bidi w:val="0"/>
      <w:spacing w:before="0" w:after="0"/>
      <w:ind w:firstLine="720"/>
      <w:jc w:val="left"/>
      <w:textAlignment w:val="baseline"/>
    </w:pPr>
    <w:rPr>
      <w:rFonts w:ascii="Arial" w:hAnsi="Arial" w:eastAsia="Times New Roman" w:cs="Arial"/>
      <w:color w:val="auto"/>
      <w:kern w:val="2"/>
      <w:sz w:val="20"/>
      <w:szCs w:val="20"/>
      <w:lang w:val="ru-RU" w:eastAsia="zh-CN" w:bidi="ar-SA"/>
    </w:rPr>
  </w:style>
  <w:style w:type="paragraph" w:styleId="Contents9" w:customStyle="1">
    <w:name w:val="Contents 9"/>
    <w:qFormat/>
    <w:pPr>
      <w:widowControl/>
      <w:suppressAutoHyphens w:val="true"/>
      <w:bidi w:val="0"/>
      <w:spacing w:before="0" w:after="0"/>
      <w:ind w:left="1760" w:hanging="0"/>
      <w:jc w:val="both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en-US" w:bidi="ar-SA"/>
    </w:rPr>
  </w:style>
  <w:style w:type="paragraph" w:styleId="Contents8" w:customStyle="1">
    <w:name w:val="Contents 8"/>
    <w:qFormat/>
    <w:pPr>
      <w:widowControl/>
      <w:suppressAutoHyphens w:val="true"/>
      <w:bidi w:val="0"/>
      <w:spacing w:before="0" w:after="0"/>
      <w:ind w:left="1540" w:hanging="0"/>
      <w:jc w:val="both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en-US" w:bidi="ar-SA"/>
    </w:rPr>
  </w:style>
  <w:style w:type="paragraph" w:styleId="Contents7" w:customStyle="1">
    <w:name w:val="Contents 7"/>
    <w:qFormat/>
    <w:pPr>
      <w:widowControl/>
      <w:suppressAutoHyphens w:val="true"/>
      <w:bidi w:val="0"/>
      <w:spacing w:before="0" w:after="0"/>
      <w:ind w:left="1320" w:hanging="0"/>
      <w:jc w:val="both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en-US" w:bidi="ar-SA"/>
    </w:rPr>
  </w:style>
  <w:style w:type="paragraph" w:styleId="Contents6" w:customStyle="1">
    <w:name w:val="Contents 6"/>
    <w:qFormat/>
    <w:pPr>
      <w:widowControl/>
      <w:suppressAutoHyphens w:val="true"/>
      <w:bidi w:val="0"/>
      <w:spacing w:before="0" w:after="0"/>
      <w:ind w:left="1100" w:hanging="0"/>
      <w:jc w:val="both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en-US" w:bidi="ar-SA"/>
    </w:rPr>
  </w:style>
  <w:style w:type="paragraph" w:styleId="Contents5" w:customStyle="1">
    <w:name w:val="Contents 5"/>
    <w:qFormat/>
    <w:pPr>
      <w:widowControl/>
      <w:suppressAutoHyphens w:val="true"/>
      <w:bidi w:val="0"/>
      <w:spacing w:before="0" w:after="0"/>
      <w:ind w:left="880" w:hanging="0"/>
      <w:jc w:val="both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en-US" w:bidi="ar-SA"/>
    </w:rPr>
  </w:style>
  <w:style w:type="paragraph" w:styleId="Contents2" w:customStyle="1">
    <w:name w:val="Contents 2"/>
    <w:qFormat/>
    <w:pPr>
      <w:widowControl/>
      <w:suppressAutoHyphens w:val="true"/>
      <w:bidi w:val="0"/>
      <w:spacing w:before="0" w:after="0"/>
      <w:ind w:firstLine="227"/>
      <w:jc w:val="both"/>
    </w:pPr>
    <w:rPr>
      <w:rFonts w:ascii="Times New Roman" w:hAnsi="Times New Roman" w:eastAsia="Times New Roman" w:cs="Times New Roman"/>
      <w:b/>
      <w:bCs/>
      <w:color w:val="auto"/>
      <w:kern w:val="0"/>
      <w:sz w:val="26"/>
      <w:szCs w:val="22"/>
      <w:lang w:val="ru-RU" w:eastAsia="en-US" w:bidi="ar-SA"/>
    </w:rPr>
  </w:style>
  <w:style w:type="paragraph" w:styleId="PlainText1" w:customStyle="1">
    <w:name w:val="Plain Text1"/>
    <w:qFormat/>
    <w:pPr>
      <w:widowControl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en-US" w:bidi="ar-SA"/>
    </w:rPr>
  </w:style>
  <w:style w:type="paragraph" w:styleId="BodyText3">
    <w:name w:val="Body Text 3"/>
    <w:qFormat/>
    <w:pPr>
      <w:widowControl/>
      <w:suppressAutoHyphens w:val="true"/>
      <w:bidi w:val="0"/>
      <w:spacing w:before="0" w:after="0"/>
      <w:jc w:val="both"/>
    </w:pPr>
    <w:rPr>
      <w:rFonts w:ascii="Times New Roman CYR" w:hAnsi="Times New Roman CYR" w:eastAsia="Times New Roman" w:cs="Times New Roman CYR"/>
      <w:color w:val="000000"/>
      <w:kern w:val="0"/>
      <w:sz w:val="20"/>
      <w:szCs w:val="22"/>
      <w:lang w:val="ru-RU" w:eastAsia="en-US" w:bidi="ar-SA"/>
    </w:rPr>
  </w:style>
  <w:style w:type="paragraph" w:styleId="P" w:customStyle="1">
    <w:name w:val="p"/>
    <w:qFormat/>
    <w:pPr>
      <w:widowControl/>
      <w:suppressAutoHyphens w:val="true"/>
      <w:bidi w:val="0"/>
      <w:spacing w:before="75" w:after="75"/>
      <w:ind w:left="75" w:right="75" w:hanging="0"/>
      <w:jc w:val="both"/>
    </w:pPr>
    <w:rPr>
      <w:rFonts w:ascii="Verdana" w:hAnsi="Verdana" w:eastAsia="Times New Roman" w:cs="Verdana"/>
      <w:color w:val="auto"/>
      <w:kern w:val="0"/>
      <w:sz w:val="20"/>
      <w:szCs w:val="20"/>
      <w:lang w:val="ru-RU" w:eastAsia="en-US" w:bidi="ar-SA"/>
    </w:rPr>
  </w:style>
  <w:style w:type="paragraph" w:styleId="BodyTextIndent3">
    <w:name w:val="Body Text Indent 3"/>
    <w:qFormat/>
    <w:pPr>
      <w:widowControl/>
      <w:suppressAutoHyphens w:val="true"/>
      <w:bidi w:val="0"/>
      <w:spacing w:before="0" w:after="0"/>
      <w:ind w:firstLine="851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en-US" w:bidi="ar-SA"/>
    </w:rPr>
  </w:style>
  <w:style w:type="paragraph" w:styleId="Caption1112" w:customStyle="1">
    <w:name w:val="Caption1112"/>
    <w:basedOn w:val="Normal"/>
    <w:qFormat/>
    <w:pPr>
      <w:spacing w:before="120" w:after="120"/>
    </w:pPr>
    <w:rPr>
      <w:i/>
      <w:iCs/>
    </w:rPr>
  </w:style>
  <w:style w:type="paragraph" w:styleId="Caption112" w:customStyle="1">
    <w:name w:val="Caption112"/>
    <w:basedOn w:val="Normal"/>
    <w:qFormat/>
    <w:pPr>
      <w:spacing w:before="120" w:after="120"/>
    </w:pPr>
    <w:rPr>
      <w:i/>
      <w:iCs/>
    </w:rPr>
  </w:style>
  <w:style w:type="paragraph" w:styleId="Caption12" w:customStyle="1">
    <w:name w:val="Caption12"/>
    <w:basedOn w:val="Normal"/>
    <w:qFormat/>
    <w:pPr>
      <w:spacing w:before="120" w:after="120"/>
    </w:pPr>
    <w:rPr>
      <w:i/>
      <w:iCs/>
    </w:rPr>
  </w:style>
  <w:style w:type="paragraph" w:styleId="Caption21" w:customStyle="1">
    <w:name w:val="Caption21"/>
    <w:basedOn w:val="Normal"/>
    <w:qFormat/>
    <w:pPr>
      <w:spacing w:before="120" w:after="120"/>
    </w:pPr>
    <w:rPr>
      <w:i/>
      <w:iCs/>
    </w:rPr>
  </w:style>
  <w:style w:type="paragraph" w:styleId="Textbody" w:customStyle="1">
    <w:name w:val="Text body"/>
    <w:qFormat/>
    <w:pPr>
      <w:widowControl/>
      <w:suppressAutoHyphens w:val="true"/>
      <w:bidi w:val="0"/>
      <w:spacing w:before="60" w:after="120"/>
      <w:jc w:val="both"/>
    </w:pPr>
    <w:rPr>
      <w:rFonts w:ascii="Times New Roman" w:hAnsi="Times New Roman" w:eastAsia="Times New Roman" w:cs="Times New Roman"/>
      <w:color w:val="auto"/>
      <w:kern w:val="0"/>
      <w:sz w:val="26"/>
      <w:szCs w:val="20"/>
      <w:lang w:val="ru-RU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numbering" w:styleId="24622228561" w:customStyle="1">
    <w:name w:val="24622228561"/>
    <w:qFormat/>
  </w:style>
  <w:style w:type="numbering" w:styleId="23151042461" w:customStyle="1">
    <w:name w:val="23151042461"/>
    <w:qFormat/>
  </w:style>
  <w:style w:type="numbering" w:styleId="4955784011" w:customStyle="1">
    <w:name w:val="4955784011"/>
    <w:qFormat/>
  </w:style>
  <w:style w:type="numbering" w:styleId="20357562541" w:customStyle="1">
    <w:name w:val="20357562541"/>
    <w:qFormat/>
  </w:style>
  <w:style w:type="numbering" w:styleId="6869008621" w:customStyle="1">
    <w:name w:val="6869008621"/>
    <w:qFormat/>
  </w:style>
  <w:style w:type="numbering" w:styleId="13331663791" w:customStyle="1">
    <w:name w:val="13331663791"/>
    <w:qFormat/>
  </w:style>
  <w:style w:type="numbering" w:styleId="2151529811" w:customStyle="1">
    <w:name w:val="2151529811"/>
    <w:qFormat/>
  </w:style>
  <w:style w:type="numbering" w:styleId="11014195381" w:customStyle="1">
    <w:name w:val="11014195381"/>
    <w:qFormat/>
  </w:style>
  <w:style w:type="numbering" w:styleId="28715445311" w:customStyle="1">
    <w:name w:val="28715445311"/>
    <w:qFormat/>
  </w:style>
  <w:style w:type="numbering" w:styleId="24663906121" w:customStyle="1">
    <w:name w:val="24663906121"/>
    <w:qFormat/>
  </w:style>
  <w:style w:type="numbering" w:styleId="6070331741" w:customStyle="1">
    <w:name w:val="6070331741"/>
    <w:qFormat/>
  </w:style>
  <w:style w:type="numbering" w:styleId="26238083211" w:customStyle="1">
    <w:name w:val="26238083211"/>
    <w:qFormat/>
  </w:style>
  <w:style w:type="numbering" w:styleId="15175585951" w:customStyle="1">
    <w:name w:val="15175585951"/>
    <w:qFormat/>
  </w:style>
  <w:style w:type="numbering" w:styleId="Style52" w:customStyle="1">
    <w:name w:val="Без списка"/>
    <w:qFormat/>
  </w:style>
  <w:style w:type="numbering" w:styleId="WW8Num15" w:customStyle="1">
    <w:name w:val="WW8Num15"/>
    <w:qFormat/>
  </w:style>
  <w:style w:type="numbering" w:styleId="26391451731" w:customStyle="1">
    <w:name w:val="26391451731"/>
    <w:qFormat/>
  </w:style>
  <w:style w:type="numbering" w:styleId="18050941741" w:customStyle="1">
    <w:name w:val="18050941741"/>
    <w:qFormat/>
  </w:style>
  <w:style w:type="numbering" w:styleId="38849399231" w:customStyle="1">
    <w:name w:val="38849399231"/>
    <w:qFormat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9">
    <w:name w:val="Table Grid"/>
    <w:basedOn w:val="a2"/>
    <w:uiPriority w:val="39"/>
    <w:rsid w:val="00066ee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d">
    <w:name w:val="Сетка таблицы1"/>
    <w:basedOn w:val="a2"/>
    <w:rsid w:val="00635c19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smb://172.21.1.6/investment/pid-6877/12.05.2022)" TargetMode="External"/><Relationship Id="rId3" Type="http://schemas.openxmlformats.org/officeDocument/2006/relationships/hyperlink" Target="smb://172.21.1.6/investment/pid-6877/01.05.2022)" TargetMode="External"/><Relationship Id="rId4" Type="http://schemas.openxmlformats.org/officeDocument/2006/relationships/hyperlink" Target="smb://172.21.1.6/investment/pid-6877/26.03.2022)" TargetMode="External"/><Relationship Id="rId5" Type="http://schemas.openxmlformats.org/officeDocument/2006/relationships/hyperlink" Target="smb://172.21.1.6/investment/pid-6877/12.05.2022)" TargetMode="External"/><Relationship Id="rId6" Type="http://schemas.openxmlformats.org/officeDocument/2006/relationships/hyperlink" Target="smb://172.21.1.6/investment/pid-6877/10.01.2022)" TargetMode="External"/><Relationship Id="rId7" Type="http://schemas.openxmlformats.org/officeDocument/2006/relationships/hyperlink" Target="smb://172.21.1.6/investment/pid-6877/&#1088;&#1077;&#1075;&#1083;&#1072;&#1084;&#1077;&#1085;&#1090;&#1072;" TargetMode="External"/><Relationship Id="rId8" Type="http://schemas.openxmlformats.org/officeDocument/2006/relationships/hyperlink" Target="smb://172.21.1.6/investment/pid-6877/&#1088;&#1077;&#1075;&#1083;&#1072;&#1084;&#1077;&#1085;&#1090;&#1072;" TargetMode="External"/><Relationship Id="rId9" Type="http://schemas.openxmlformats.org/officeDocument/2006/relationships/hyperlink" Target="smb://172.21.1.6/investment/pid-6877/30.06.2013)" TargetMode="External"/><Relationship Id="rId10" Type="http://schemas.openxmlformats.org/officeDocument/2006/relationships/hyperlink" Target="http://docs2.kodeks.ru/document/456042686" TargetMode="External"/><Relationship Id="rId11" Type="http://schemas.openxmlformats.org/officeDocument/2006/relationships/hyperlink" Target="smb://172.21.1.6/investment/pid-6877/01.03.2020" TargetMode="External"/><Relationship Id="rId12" Type="http://schemas.openxmlformats.org/officeDocument/2006/relationships/hyperlink" Target="smb://172.21.1.6/investment/pid-6877/01.09.2015" TargetMode="External"/><Relationship Id="rId13" Type="http://schemas.openxmlformats.org/officeDocument/2006/relationships/hyperlink" Target="smb://172.21.1.6/investment/pid-6877/01.09.2015" TargetMode="External"/><Relationship Id="rId14" Type="http://schemas.openxmlformats.org/officeDocument/2006/relationships/hyperlink" Target="smb://172.21.1.6/investment/pid-6877/07.03.2021" TargetMode="External"/><Relationship Id="rId15" Type="http://schemas.openxmlformats.org/officeDocument/2006/relationships/header" Target="header1.xml"/><Relationship Id="rId16" Type="http://schemas.openxmlformats.org/officeDocument/2006/relationships/numbering" Target="numbering.xml"/><Relationship Id="rId17" Type="http://schemas.openxmlformats.org/officeDocument/2006/relationships/fontTable" Target="fontTable.xml"/><Relationship Id="rId18" Type="http://schemas.openxmlformats.org/officeDocument/2006/relationships/settings" Target="settings.xml"/><Relationship Id="rId1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7036</TotalTime>
  <Application>AlterOffice/3.4.0.6$Linux_X86_64 LibreOffice_project/ad8c41dce69105450bf791d4900d64b1f82e10d0</Application>
  <AppVersion>15.0000</AppVersion>
  <Pages>12</Pages>
  <Words>4081</Words>
  <Characters>29553</Characters>
  <CharactersWithSpaces>33326</CharactersWithSpaces>
  <Paragraphs>264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2026-03-23T09:04:00Z</dcterms:created>
  <dc:creator>Коваленко Александр Олегович</dc:creator>
  <dc:description/>
  <dc:language>ru-RU</dc:language>
  <cp:lastModifiedBy>mozzhuhin_dyu</cp:lastModifiedBy>
  <cp:lastPrinted>2026-02-18T10:39:00Z</cp:lastPrinted>
  <dcterms:modified xsi:type="dcterms:W3CDTF">2026-04-02T16:36:29Z</dcterms:modified>
  <cp:revision>94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